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rPr>
          <w:rFonts w:hint="default" w:ascii="Times New Roman" w:hAnsi="Times New Roman" w:eastAsia="宋体" w:cs="Times New Roman"/>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eastAsia" w:ascii="Times New Roman" w:hAnsi="Times New Roman" w:eastAsia="宋体" w:cs="Times New Roman"/>
          <w:sz w:val="36"/>
          <w:szCs w:val="36"/>
        </w:rPr>
      </w:pPr>
      <w:bookmarkStart w:id="1" w:name="_Hlk47001029"/>
      <w:bookmarkStart w:id="2" w:name="_Hlk496950128"/>
      <w:r>
        <w:rPr>
          <w:rFonts w:hint="eastAsia" w:ascii="Times New Roman" w:hAnsi="Times New Roman" w:eastAsia="宋体" w:cs="Times New Roman"/>
          <w:sz w:val="36"/>
          <w:szCs w:val="36"/>
        </w:rPr>
        <w:t>沧州市新华区路捷汽车维修服务中心汽车维修项目</w:t>
      </w:r>
      <w:bookmarkEnd w:id="1"/>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2"/>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960" w:firstLineChars="300"/>
        <w:rPr>
          <w:rFonts w:hint="eastAsia" w:ascii="Times New Roman" w:hAnsi="Times New Roman" w:cs="Times New Roman"/>
          <w:sz w:val="32"/>
          <w:szCs w:val="32"/>
          <w:lang w:val="en-US" w:eastAsia="zh-CN"/>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val="en-US" w:eastAsia="zh-CN"/>
        </w:rPr>
        <w:t>沧州市新华区路捷汽车维修服务中心</w:t>
      </w:r>
    </w:p>
    <w:p>
      <w:pPr>
        <w:ind w:firstLine="960" w:firstLineChars="300"/>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val="en-US" w:eastAsia="zh-CN"/>
        </w:rPr>
        <w:t>沧州市新华区路捷汽车维修服务中心</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default" w:ascii="Times New Roman" w:hAnsi="Times New Roman" w:eastAsia="宋体" w:cs="Times New Roman"/>
          <w:sz w:val="32"/>
          <w:szCs w:val="32"/>
        </w:rPr>
        <w:t>20</w:t>
      </w:r>
      <w:r>
        <w:rPr>
          <w:rFonts w:hint="eastAsia" w:ascii="Times New Roman" w:hAnsi="Times New Roman" w:cs="Times New Roman"/>
          <w:sz w:val="32"/>
          <w:szCs w:val="32"/>
          <w:lang w:val="en-US" w:eastAsia="zh-CN"/>
        </w:rPr>
        <w:t>20</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09</w:t>
      </w:r>
      <w:r>
        <w:rPr>
          <w:rFonts w:hint="default" w:ascii="Times New Roman" w:hAnsi="Times New Roman" w:eastAsia="宋体" w:cs="Times New Roman"/>
          <w:sz w:val="32"/>
          <w:szCs w:val="32"/>
        </w:rPr>
        <w:t>月</w:t>
      </w:r>
    </w:p>
    <w:p>
      <w:pPr>
        <w:pStyle w:val="34"/>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  录</w:t>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TOC \o "1-3" \h \z \u </w:instrText>
      </w:r>
      <w:r>
        <w:rPr>
          <w:rFonts w:hint="default" w:ascii="Times New Roman" w:hAnsi="Times New Roman" w:eastAsia="宋体" w:cs="Times New Roman"/>
        </w:rPr>
        <w:fldChar w:fldCharType="separate"/>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_Toc24992 </w:instrText>
      </w:r>
      <w:r>
        <w:rPr>
          <w:rFonts w:hint="default" w:ascii="Times New Roman" w:hAnsi="Times New Roman" w:eastAsia="宋体" w:cs="Times New Roman"/>
        </w:rPr>
        <w:fldChar w:fldCharType="separate"/>
      </w:r>
      <w:r>
        <w:rPr>
          <w:rFonts w:hint="default" w:ascii="Times New Roman" w:hAnsi="Times New Roman" w:eastAsia="宋体" w:cs="Times New Roman"/>
        </w:rPr>
        <w:t>前  言</w:t>
      </w:r>
      <w:r>
        <w:tab/>
      </w:r>
      <w:r>
        <w:fldChar w:fldCharType="begin"/>
      </w:r>
      <w:r>
        <w:instrText xml:space="preserve"> PAGEREF _Toc24992 </w:instrText>
      </w:r>
      <w:r>
        <w:fldChar w:fldCharType="separate"/>
      </w:r>
      <w:r>
        <w:t>1</w:t>
      </w:r>
      <w: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_Toc10653 </w:instrText>
      </w:r>
      <w:r>
        <w:rPr>
          <w:rFonts w:hint="default" w:ascii="Times New Roman" w:hAnsi="Times New Roman" w:eastAsia="宋体" w:cs="Times New Roman"/>
        </w:rPr>
        <w:fldChar w:fldCharType="separate"/>
      </w:r>
      <w:r>
        <w:rPr>
          <w:rFonts w:hint="default" w:ascii="Times New Roman" w:hAnsi="Times New Roman" w:eastAsia="宋体" w:cs="Times New Roman"/>
        </w:rPr>
        <w:t>1 验收编制依据</w:t>
      </w:r>
      <w:r>
        <w:tab/>
      </w:r>
      <w:r>
        <w:fldChar w:fldCharType="begin"/>
      </w:r>
      <w:r>
        <w:instrText xml:space="preserve"> PAGEREF _Toc10653 </w:instrText>
      </w:r>
      <w:r>
        <w:fldChar w:fldCharType="separate"/>
      </w:r>
      <w:r>
        <w:t>2</w:t>
      </w:r>
      <w: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_Toc12506 </w:instrText>
      </w:r>
      <w:r>
        <w:rPr>
          <w:rFonts w:hint="default" w:ascii="Times New Roman" w:hAnsi="Times New Roman" w:eastAsia="宋体" w:cs="Times New Roman"/>
        </w:rPr>
        <w:fldChar w:fldCharType="separate"/>
      </w:r>
      <w:r>
        <w:rPr>
          <w:rFonts w:hint="default" w:ascii="Times New Roman" w:hAnsi="Times New Roman" w:eastAsia="宋体" w:cs="Times New Roman"/>
        </w:rPr>
        <w:t>1.1 法律、法规</w:t>
      </w:r>
      <w:r>
        <w:tab/>
      </w:r>
      <w:r>
        <w:fldChar w:fldCharType="begin"/>
      </w:r>
      <w:r>
        <w:instrText xml:space="preserve"> PAGEREF _Toc12506 </w:instrText>
      </w:r>
      <w:r>
        <w:fldChar w:fldCharType="separate"/>
      </w:r>
      <w:r>
        <w:t>2</w:t>
      </w:r>
      <w: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_Toc32564 </w:instrText>
      </w:r>
      <w:r>
        <w:rPr>
          <w:rFonts w:hint="default" w:ascii="Times New Roman" w:hAnsi="Times New Roman" w:eastAsia="宋体" w:cs="Times New Roman"/>
        </w:rPr>
        <w:fldChar w:fldCharType="separate"/>
      </w:r>
      <w:r>
        <w:rPr>
          <w:rFonts w:hint="default" w:ascii="Times New Roman" w:hAnsi="Times New Roman" w:eastAsia="宋体" w:cs="Times New Roman"/>
        </w:rPr>
        <w:t>1.2 验收技术规范</w:t>
      </w:r>
      <w:r>
        <w:tab/>
      </w:r>
      <w:r>
        <w:fldChar w:fldCharType="begin"/>
      </w:r>
      <w:r>
        <w:instrText xml:space="preserve"> PAGEREF _Toc32564 </w:instrText>
      </w:r>
      <w:r>
        <w:fldChar w:fldCharType="separate"/>
      </w:r>
      <w:r>
        <w:t>2</w:t>
      </w:r>
      <w: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_Toc8930 </w:instrText>
      </w:r>
      <w:r>
        <w:rPr>
          <w:rFonts w:hint="default" w:ascii="Times New Roman" w:hAnsi="Times New Roman" w:eastAsia="宋体" w:cs="Times New Roman"/>
        </w:rPr>
        <w:fldChar w:fldCharType="separate"/>
      </w:r>
      <w:r>
        <w:rPr>
          <w:rFonts w:hint="default" w:ascii="Times New Roman" w:hAnsi="Times New Roman" w:eastAsia="宋体" w:cs="Times New Roman"/>
        </w:rPr>
        <w:t>1.3 工程技术文件及批复文件</w:t>
      </w:r>
      <w:r>
        <w:tab/>
      </w:r>
      <w:r>
        <w:fldChar w:fldCharType="begin"/>
      </w:r>
      <w:r>
        <w:instrText xml:space="preserve"> PAGEREF _Toc8930 </w:instrText>
      </w:r>
      <w:r>
        <w:fldChar w:fldCharType="separate"/>
      </w:r>
      <w:r>
        <w:t>3</w:t>
      </w:r>
      <w: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_Toc6874 </w:instrText>
      </w:r>
      <w:r>
        <w:rPr>
          <w:rFonts w:hint="default" w:ascii="Times New Roman" w:hAnsi="Times New Roman" w:eastAsia="宋体" w:cs="Times New Roman"/>
        </w:rPr>
        <w:fldChar w:fldCharType="separate"/>
      </w:r>
      <w:r>
        <w:rPr>
          <w:rFonts w:hint="default" w:ascii="Times New Roman" w:hAnsi="Times New Roman" w:eastAsia="宋体" w:cs="Times New Roman"/>
        </w:rPr>
        <w:t>2 工程概况</w:t>
      </w:r>
      <w:r>
        <w:tab/>
      </w:r>
      <w:r>
        <w:fldChar w:fldCharType="begin"/>
      </w:r>
      <w:r>
        <w:instrText xml:space="preserve"> PAGEREF _Toc6874 </w:instrText>
      </w:r>
      <w:r>
        <w:fldChar w:fldCharType="separate"/>
      </w:r>
      <w:r>
        <w:t>4</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_Toc7259 </w:instrText>
      </w:r>
      <w:r>
        <w:rPr>
          <w:rFonts w:hint="default" w:ascii="Times New Roman" w:hAnsi="Times New Roman" w:eastAsia="宋体" w:cs="Times New Roman"/>
        </w:rPr>
        <w:fldChar w:fldCharType="separate"/>
      </w:r>
      <w:r>
        <w:rPr>
          <w:rFonts w:hint="default" w:ascii="Times New Roman" w:hAnsi="Times New Roman" w:eastAsia="宋体" w:cs="Times New Roman"/>
        </w:rPr>
        <w:t>2.1 项目基本情况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_Toc7259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_Toc25674 </w:instrText>
      </w:r>
      <w:r>
        <w:rPr>
          <w:rFonts w:hint="default" w:ascii="Times New Roman" w:hAnsi="Times New Roman" w:eastAsia="宋体" w:cs="Times New Roman"/>
        </w:rPr>
        <w:fldChar w:fldCharType="separate"/>
      </w:r>
      <w:r>
        <w:rPr>
          <w:rFonts w:hint="default" w:ascii="Times New Roman" w:hAnsi="Times New Roman" w:eastAsia="宋体" w:cs="Times New Roman"/>
        </w:rPr>
        <w:t>2.1.1 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_Toc25674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_Toc19738 </w:instrText>
      </w:r>
      <w:r>
        <w:rPr>
          <w:rFonts w:hint="default" w:ascii="Times New Roman" w:hAnsi="Times New Roman" w:eastAsia="宋体" w:cs="Times New Roman"/>
        </w:rPr>
        <w:fldChar w:fldCharType="separate"/>
      </w:r>
      <w:r>
        <w:rPr>
          <w:rFonts w:hint="default" w:ascii="Times New Roman" w:hAnsi="Times New Roman" w:eastAsia="宋体" w:cs="Times New Roman"/>
        </w:rPr>
        <w:t>2.1.2 地理位置及周边情况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_Toc19738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_Toc7935 </w:instrText>
      </w:r>
      <w:r>
        <w:rPr>
          <w:rFonts w:hint="default" w:ascii="Times New Roman" w:hAnsi="Times New Roman" w:eastAsia="宋体" w:cs="Times New Roman"/>
        </w:rPr>
        <w:fldChar w:fldCharType="separate"/>
      </w:r>
      <w:r>
        <w:rPr>
          <w:rFonts w:hint="default" w:ascii="Times New Roman" w:hAnsi="Times New Roman" w:eastAsia="宋体" w:cs="Times New Roman"/>
        </w:rPr>
        <w:t>2.1.3 厂区平面布置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_Toc7935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_Toc22973 </w:instrText>
      </w:r>
      <w:r>
        <w:rPr>
          <w:rFonts w:hint="default" w:ascii="Times New Roman" w:hAnsi="Times New Roman" w:eastAsia="宋体" w:cs="Times New Roman"/>
        </w:rPr>
        <w:fldChar w:fldCharType="separate"/>
      </w:r>
      <w:r>
        <w:rPr>
          <w:rFonts w:hint="default" w:ascii="Times New Roman" w:hAnsi="Times New Roman" w:eastAsia="宋体" w:cs="Times New Roman"/>
        </w:rPr>
        <w:t>2.2 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_Toc22973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_Toc22512 </w:instrText>
      </w:r>
      <w:r>
        <w:rPr>
          <w:rFonts w:hint="default" w:ascii="Times New Roman" w:hAnsi="Times New Roman" w:eastAsia="宋体" w:cs="Times New Roman"/>
        </w:rPr>
        <w:fldChar w:fldCharType="separate"/>
      </w:r>
      <w:r>
        <w:rPr>
          <w:rFonts w:hint="default" w:ascii="Times New Roman" w:hAnsi="Times New Roman" w:eastAsia="宋体" w:cs="Times New Roman"/>
        </w:rPr>
        <w:t>2.2.1 生产规模及产品方案</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_Toc22512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_Toc21251 </w:instrText>
      </w:r>
      <w:r>
        <w:rPr>
          <w:rFonts w:hint="default" w:ascii="Times New Roman" w:hAnsi="Times New Roman" w:eastAsia="宋体" w:cs="Times New Roman"/>
        </w:rPr>
        <w:fldChar w:fldCharType="separate"/>
      </w:r>
      <w:r>
        <w:rPr>
          <w:rFonts w:hint="default" w:ascii="Times New Roman" w:hAnsi="Times New Roman" w:eastAsia="宋体" w:cs="Times New Roman"/>
        </w:rPr>
        <w:t>2.2.2 主要原辅材料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_Toc21251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_Toc15858 </w:instrText>
      </w:r>
      <w:r>
        <w:rPr>
          <w:rFonts w:hint="default" w:ascii="Times New Roman" w:hAnsi="Times New Roman" w:eastAsia="宋体" w:cs="Times New Roman"/>
        </w:rPr>
        <w:fldChar w:fldCharType="separate"/>
      </w:r>
      <w:r>
        <w:rPr>
          <w:rFonts w:hint="default" w:ascii="Times New Roman" w:hAnsi="Times New Roman" w:eastAsia="宋体" w:cs="Times New Roman"/>
        </w:rPr>
        <w:t>2.2.3 主体设施建设内容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_Toc15858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_Toc28959 </w:instrText>
      </w:r>
      <w:r>
        <w:rPr>
          <w:rFonts w:hint="default" w:ascii="Times New Roman" w:hAnsi="Times New Roman" w:eastAsia="宋体" w:cs="Times New Roman"/>
        </w:rPr>
        <w:fldChar w:fldCharType="separate"/>
      </w:r>
      <w:r>
        <w:rPr>
          <w:rFonts w:hint="default" w:ascii="Times New Roman" w:hAnsi="Times New Roman" w:eastAsia="宋体" w:cs="Times New Roman"/>
        </w:rPr>
        <w:t>2.2.4 生产设备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_Toc28959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_Toc8794 </w:instrText>
      </w:r>
      <w:r>
        <w:rPr>
          <w:rFonts w:hint="default" w:ascii="Times New Roman" w:hAnsi="Times New Roman" w:eastAsia="宋体" w:cs="Times New Roman"/>
        </w:rPr>
        <w:fldChar w:fldCharType="separate"/>
      </w:r>
      <w:r>
        <w:rPr>
          <w:rFonts w:hint="default" w:ascii="Times New Roman" w:hAnsi="Times New Roman" w:eastAsia="宋体" w:cs="Times New Roman"/>
        </w:rPr>
        <w:t>2.3 工艺流程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_Toc8794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_Toc31314 </w:instrText>
      </w:r>
      <w:r>
        <w:rPr>
          <w:rFonts w:hint="default" w:ascii="Times New Roman" w:hAnsi="Times New Roman" w:eastAsia="宋体" w:cs="Times New Roman"/>
        </w:rPr>
        <w:fldChar w:fldCharType="separate"/>
      </w:r>
      <w:r>
        <w:rPr>
          <w:rFonts w:hint="default" w:ascii="Times New Roman" w:hAnsi="Times New Roman" w:eastAsia="宋体" w:cs="Times New Roman"/>
        </w:rPr>
        <w:t>2.4 劳动定员及工作制度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_Toc31314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_Toc14216 </w:instrText>
      </w:r>
      <w:r>
        <w:rPr>
          <w:rFonts w:hint="default" w:ascii="Times New Roman" w:hAnsi="Times New Roman" w:eastAsia="宋体" w:cs="Times New Roman"/>
        </w:rPr>
        <w:fldChar w:fldCharType="separate"/>
      </w:r>
      <w:r>
        <w:rPr>
          <w:rFonts w:hint="default" w:ascii="Times New Roman" w:hAnsi="Times New Roman" w:eastAsia="宋体" w:cs="Times New Roman"/>
        </w:rPr>
        <w:t>2.5 公用工程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_Toc14216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_Toc20998 </w:instrText>
      </w:r>
      <w:r>
        <w:rPr>
          <w:rFonts w:hint="default" w:ascii="Times New Roman" w:hAnsi="Times New Roman" w:eastAsia="宋体" w:cs="Times New Roman"/>
        </w:rPr>
        <w:fldChar w:fldCharType="separate"/>
      </w:r>
      <w:r>
        <w:rPr>
          <w:rFonts w:hint="default" w:ascii="Times New Roman" w:hAnsi="Times New Roman" w:eastAsia="宋体" w:cs="Times New Roman"/>
        </w:rPr>
        <w:t>2.5.1 给排水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_Toc20998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_Toc11997 </w:instrText>
      </w:r>
      <w:r>
        <w:rPr>
          <w:rFonts w:hint="default" w:ascii="Times New Roman" w:hAnsi="Times New Roman" w:eastAsia="宋体" w:cs="Times New Roman"/>
        </w:rPr>
        <w:fldChar w:fldCharType="separate"/>
      </w:r>
      <w:r>
        <w:rPr>
          <w:rFonts w:hint="default" w:ascii="Times New Roman" w:hAnsi="Times New Roman" w:eastAsia="宋体" w:cs="Times New Roman"/>
        </w:rPr>
        <w:t>2.5.2 供电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_Toc11997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_Toc16020 </w:instrText>
      </w:r>
      <w:r>
        <w:rPr>
          <w:rFonts w:hint="default" w:ascii="Times New Roman" w:hAnsi="Times New Roman" w:eastAsia="宋体" w:cs="Times New Roman"/>
        </w:rPr>
        <w:fldChar w:fldCharType="separate"/>
      </w:r>
      <w:r>
        <w:rPr>
          <w:rFonts w:hint="default" w:ascii="Times New Roman" w:hAnsi="Times New Roman" w:eastAsia="宋体" w:cs="Times New Roman"/>
        </w:rPr>
        <w:t>2.6 环评审批情况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_Toc16020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_Toc23337 </w:instrText>
      </w:r>
      <w:r>
        <w:rPr>
          <w:rFonts w:hint="default" w:ascii="Times New Roman" w:hAnsi="Times New Roman" w:eastAsia="宋体" w:cs="Times New Roman"/>
        </w:rPr>
        <w:fldChar w:fldCharType="separate"/>
      </w:r>
      <w:r>
        <w:rPr>
          <w:rFonts w:hint="default" w:ascii="Times New Roman" w:hAnsi="Times New Roman" w:eastAsia="宋体" w:cs="Times New Roman"/>
        </w:rPr>
        <w:t>2.7 项目投资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_Toc23337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_Toc4354 </w:instrText>
      </w:r>
      <w:r>
        <w:rPr>
          <w:rFonts w:hint="default" w:ascii="Times New Roman" w:hAnsi="Times New Roman" w:eastAsia="宋体" w:cs="Times New Roman"/>
        </w:rPr>
        <w:fldChar w:fldCharType="separate"/>
      </w:r>
      <w:r>
        <w:rPr>
          <w:rFonts w:hint="default" w:ascii="Times New Roman" w:hAnsi="Times New Roman" w:eastAsia="宋体" w:cs="Times New Roman"/>
        </w:rPr>
        <w:t>2.8 项目变更情况说明</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_Toc4354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_Toc5320 </w:instrText>
      </w:r>
      <w:r>
        <w:rPr>
          <w:rFonts w:hint="default" w:ascii="Times New Roman" w:hAnsi="Times New Roman" w:eastAsia="宋体" w:cs="Times New Roman"/>
        </w:rPr>
        <w:fldChar w:fldCharType="separate"/>
      </w:r>
      <w:r>
        <w:rPr>
          <w:rFonts w:hint="default" w:ascii="Times New Roman" w:hAnsi="Times New Roman" w:eastAsia="宋体" w:cs="Times New Roman"/>
        </w:rPr>
        <w:t>2.9 环境保护“三同时”落实情况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_Toc5320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_Toc1250 </w:instrText>
      </w:r>
      <w:r>
        <w:rPr>
          <w:rFonts w:hint="default" w:ascii="Times New Roman" w:hAnsi="Times New Roman" w:eastAsia="宋体" w:cs="Times New Roman"/>
        </w:rPr>
        <w:fldChar w:fldCharType="separate"/>
      </w:r>
      <w:r>
        <w:rPr>
          <w:rFonts w:hint="default" w:ascii="Times New Roman" w:hAnsi="Times New Roman" w:eastAsia="宋体" w:cs="Times New Roman"/>
        </w:rPr>
        <w:t>2.10 验收范围及内容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_Toc1250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_Toc15874 </w:instrText>
      </w:r>
      <w:r>
        <w:rPr>
          <w:rFonts w:hint="default" w:ascii="Times New Roman" w:hAnsi="Times New Roman" w:eastAsia="宋体" w:cs="Times New Roman"/>
        </w:rPr>
        <w:fldChar w:fldCharType="separate"/>
      </w:r>
      <w:r>
        <w:rPr>
          <w:rFonts w:hint="default" w:ascii="Times New Roman" w:hAnsi="Times New Roman" w:eastAsia="宋体" w:cs="Times New Roman"/>
        </w:rPr>
        <w:t>3 主要污染源及治理措施</w:t>
      </w:r>
      <w:r>
        <w:tab/>
      </w:r>
      <w:r>
        <w:fldChar w:fldCharType="begin"/>
      </w:r>
      <w:r>
        <w:instrText xml:space="preserve"> PAGEREF _Toc15874 </w:instrText>
      </w:r>
      <w:r>
        <w:fldChar w:fldCharType="separate"/>
      </w:r>
      <w:r>
        <w:t>13</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_Toc17223 </w:instrText>
      </w:r>
      <w:r>
        <w:rPr>
          <w:rFonts w:hint="default" w:ascii="Times New Roman" w:hAnsi="Times New Roman" w:eastAsia="宋体" w:cs="Times New Roman"/>
        </w:rPr>
        <w:fldChar w:fldCharType="separate"/>
      </w:r>
      <w:r>
        <w:rPr>
          <w:rFonts w:hint="default" w:ascii="Times New Roman" w:hAnsi="Times New Roman" w:eastAsia="宋体" w:cs="Times New Roman"/>
        </w:rPr>
        <w:t>3.1 施工期主要污染源及治理措施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_Toc17223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_Toc31419 </w:instrText>
      </w:r>
      <w:r>
        <w:rPr>
          <w:rFonts w:hint="default" w:ascii="Times New Roman" w:hAnsi="Times New Roman" w:eastAsia="宋体" w:cs="Times New Roman"/>
        </w:rPr>
        <w:fldChar w:fldCharType="separate"/>
      </w:r>
      <w:r>
        <w:rPr>
          <w:rFonts w:hint="default" w:ascii="Times New Roman" w:hAnsi="Times New Roman" w:eastAsia="宋体" w:cs="Times New Roman"/>
        </w:rPr>
        <w:t>3.2 运行期主要污染源及治理措施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_Toc31419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_Toc13064 </w:instrText>
      </w:r>
      <w:r>
        <w:rPr>
          <w:rFonts w:hint="default" w:ascii="Times New Roman" w:hAnsi="Times New Roman" w:eastAsia="宋体" w:cs="Times New Roman"/>
        </w:rPr>
        <w:fldChar w:fldCharType="separate"/>
      </w:r>
      <w:r>
        <w:rPr>
          <w:rFonts w:hint="default" w:ascii="Times New Roman" w:hAnsi="Times New Roman" w:eastAsia="宋体" w:cs="Times New Roman"/>
        </w:rPr>
        <w:t>3.2.1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_Toc13064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_Toc4309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2</w:t>
      </w:r>
      <w:r>
        <w:rPr>
          <w:rFonts w:hint="default" w:ascii="Times New Roman" w:hAnsi="Times New Roman" w:eastAsia="宋体" w:cs="Times New Roman"/>
        </w:rPr>
        <w:t xml:space="preserve"> 废水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_Toc4309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_Toc10435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_Toc10435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_Toc7575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4 固体废物</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_Toc7575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_Toc6572 </w:instrText>
      </w:r>
      <w:r>
        <w:rPr>
          <w:rFonts w:hint="default" w:ascii="Times New Roman" w:hAnsi="Times New Roman" w:eastAsia="宋体" w:cs="Times New Roman"/>
        </w:rPr>
        <w:fldChar w:fldCharType="separate"/>
      </w:r>
      <w:r>
        <w:rPr>
          <w:rFonts w:hint="default" w:ascii="Times New Roman" w:hAnsi="Times New Roman" w:eastAsia="宋体" w:cs="Times New Roman"/>
        </w:rPr>
        <w:t>4 环评主要结论及环评批复要求</w:t>
      </w:r>
      <w:r>
        <w:tab/>
      </w:r>
      <w:r>
        <w:fldChar w:fldCharType="begin"/>
      </w:r>
      <w:r>
        <w:instrText xml:space="preserve"> PAGEREF _Toc6572 </w:instrText>
      </w:r>
      <w:r>
        <w:fldChar w:fldCharType="separate"/>
      </w:r>
      <w:r>
        <w:t>15</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_Toc10917 </w:instrText>
      </w:r>
      <w:r>
        <w:rPr>
          <w:rFonts w:hint="default" w:ascii="Times New Roman" w:hAnsi="Times New Roman" w:eastAsia="宋体" w:cs="Times New Roman"/>
        </w:rPr>
        <w:fldChar w:fldCharType="separate"/>
      </w:r>
      <w:r>
        <w:rPr>
          <w:rFonts w:hint="default" w:ascii="Times New Roman" w:hAnsi="Times New Roman" w:eastAsia="宋体" w:cs="Times New Roman"/>
        </w:rPr>
        <w:t>4.1 建设项目环评报告表的主要结论与建议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_Toc10917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_Toc21121 </w:instrText>
      </w:r>
      <w:r>
        <w:rPr>
          <w:rFonts w:hint="default" w:ascii="Times New Roman" w:hAnsi="Times New Roman" w:eastAsia="宋体" w:cs="Times New Roman"/>
        </w:rPr>
        <w:fldChar w:fldCharType="separate"/>
      </w:r>
      <w:r>
        <w:rPr>
          <w:rFonts w:hint="default" w:ascii="Times New Roman" w:hAnsi="Times New Roman" w:eastAsia="宋体" w:cs="Times New Roman"/>
        </w:rPr>
        <w:t>4.1.1 结论</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_Toc21121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_Toc19267 </w:instrText>
      </w:r>
      <w:r>
        <w:rPr>
          <w:rFonts w:hint="default" w:ascii="Times New Roman" w:hAnsi="Times New Roman" w:eastAsia="宋体" w:cs="Times New Roman"/>
        </w:rPr>
        <w:fldChar w:fldCharType="separate"/>
      </w:r>
      <w:r>
        <w:rPr>
          <w:rFonts w:hint="default" w:ascii="Times New Roman" w:hAnsi="Times New Roman" w:eastAsia="宋体" w:cs="Times New Roman"/>
          <w:lang w:eastAsia="zh-CN"/>
        </w:rPr>
        <w:t>4.1.</w:t>
      </w:r>
      <w:r>
        <w:rPr>
          <w:rFonts w:hint="default" w:ascii="Times New Roman" w:hAnsi="Times New Roman" w:eastAsia="宋体" w:cs="Times New Roman"/>
          <w:lang w:val="en-US" w:eastAsia="zh-CN"/>
        </w:rPr>
        <w:t>2</w:t>
      </w:r>
      <w:r>
        <w:rPr>
          <w:rFonts w:hint="default" w:ascii="Times New Roman" w:hAnsi="Times New Roman" w:eastAsia="宋体" w:cs="Times New Roman"/>
          <w:lang w:eastAsia="zh-CN"/>
        </w:rPr>
        <w:t xml:space="preserve"> 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_Toc19267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_Toc19945 </w:instrText>
      </w:r>
      <w:r>
        <w:rPr>
          <w:rFonts w:hint="default" w:ascii="Times New Roman" w:hAnsi="Times New Roman" w:eastAsia="宋体" w:cs="Times New Roman"/>
        </w:rPr>
        <w:fldChar w:fldCharType="separate"/>
      </w:r>
      <w:r>
        <w:rPr>
          <w:rFonts w:hint="default" w:ascii="Times New Roman" w:hAnsi="Times New Roman" w:eastAsia="宋体" w:cs="Times New Roman"/>
        </w:rPr>
        <w:t>4.2 审批部门审批意见</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_Toc19945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_Toc1379 </w:instrText>
      </w:r>
      <w:r>
        <w:rPr>
          <w:rFonts w:hint="default" w:ascii="Times New Roman" w:hAnsi="Times New Roman" w:eastAsia="宋体" w:cs="Times New Roman"/>
        </w:rPr>
        <w:fldChar w:fldCharType="separate"/>
      </w:r>
      <w:r>
        <w:rPr>
          <w:rFonts w:hint="default" w:ascii="Times New Roman" w:hAnsi="Times New Roman" w:eastAsia="宋体" w:cs="Times New Roman"/>
        </w:rPr>
        <w:t>4.3 审批意见落实情况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_Toc1379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_Toc24089 </w:instrText>
      </w:r>
      <w:r>
        <w:rPr>
          <w:rFonts w:hint="default" w:ascii="Times New Roman" w:hAnsi="Times New Roman" w:eastAsia="宋体" w:cs="Times New Roman"/>
        </w:rPr>
        <w:fldChar w:fldCharType="separate"/>
      </w:r>
      <w:r>
        <w:rPr>
          <w:rFonts w:hint="default" w:ascii="Times New Roman" w:hAnsi="Times New Roman" w:eastAsia="宋体" w:cs="Times New Roman"/>
        </w:rPr>
        <w:t>5 验收评价标准</w:t>
      </w:r>
      <w:r>
        <w:tab/>
      </w:r>
      <w:r>
        <w:fldChar w:fldCharType="begin"/>
      </w:r>
      <w:r>
        <w:instrText xml:space="preserve"> PAGEREF _Toc24089 </w:instrText>
      </w:r>
      <w:r>
        <w:fldChar w:fldCharType="separate"/>
      </w:r>
      <w:r>
        <w:t>20</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_Toc2186 </w:instrText>
      </w:r>
      <w:r>
        <w:rPr>
          <w:rFonts w:hint="default" w:ascii="Times New Roman" w:hAnsi="Times New Roman" w:eastAsia="宋体" w:cs="Times New Roman"/>
        </w:rPr>
        <w:fldChar w:fldCharType="separate"/>
      </w:r>
      <w:r>
        <w:rPr>
          <w:rFonts w:hint="default" w:ascii="Times New Roman" w:hAnsi="Times New Roman" w:eastAsia="宋体" w:cs="Times New Roman"/>
        </w:rPr>
        <w:t>5.1 污染物排放标准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_Toc2186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_Toc28501 </w:instrText>
      </w:r>
      <w:r>
        <w:rPr>
          <w:rFonts w:hint="default" w:ascii="Times New Roman" w:hAnsi="Times New Roman" w:eastAsia="宋体" w:cs="Times New Roman"/>
        </w:rPr>
        <w:fldChar w:fldCharType="separate"/>
      </w:r>
      <w:r>
        <w:rPr>
          <w:rFonts w:hint="default" w:ascii="Times New Roman" w:hAnsi="Times New Roman" w:eastAsia="宋体" w:cs="Times New Roman"/>
        </w:rPr>
        <w:t>5.1.1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_Toc28501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eastAsia" w:ascii="Times New Roman" w:hAnsi="Times New Roman" w:eastAsia="宋体" w:cs="Times New Roman"/>
          <w:lang w:val="en-US" w:eastAsia="zh-C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_Toc4175 </w:instrText>
      </w:r>
      <w:r>
        <w:rPr>
          <w:rFonts w:hint="default" w:ascii="Times New Roman" w:hAnsi="Times New Roman" w:eastAsia="宋体" w:cs="Times New Roman"/>
        </w:rPr>
        <w:fldChar w:fldCharType="separate"/>
      </w:r>
      <w:r>
        <w:rPr>
          <w:rFonts w:hint="default" w:ascii="Times New Roman" w:hAnsi="Times New Roman" w:eastAsia="宋体" w:cs="Times New Roman"/>
        </w:rPr>
        <w:t>5.1.2噪声</w:t>
      </w:r>
      <w:r>
        <w:rPr>
          <w:rFonts w:hint="default" w:ascii="Times New Roman" w:hAnsi="Times New Roman" w:eastAsia="宋体" w:cs="Times New Roman"/>
        </w:rPr>
        <w:tab/>
      </w:r>
      <w:r>
        <w:rPr>
          <w:rFonts w:hint="eastAsia" w:ascii="Times New Roman" w:hAnsi="Times New Roman" w:cs="Times New Roman"/>
          <w:lang w:val="en-US" w:eastAsia="zh-CN"/>
        </w:rPr>
        <w:t>2</w:t>
      </w:r>
      <w:r>
        <w:rPr>
          <w:rFonts w:hint="default" w:ascii="Times New Roman" w:hAnsi="Times New Roman" w:eastAsia="宋体" w:cs="Times New Roman"/>
        </w:rPr>
        <w:fldChar w:fldCharType="end"/>
      </w:r>
      <w:r>
        <w:rPr>
          <w:rFonts w:hint="eastAsia" w:ascii="Times New Roman" w:hAnsi="Times New Roman" w:cs="Times New Roman"/>
          <w:lang w:val="en-US" w:eastAsia="zh-CN"/>
        </w:rPr>
        <w:t>1</w:t>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_Toc18965 </w:instrText>
      </w:r>
      <w:r>
        <w:rPr>
          <w:rFonts w:hint="default" w:ascii="Times New Roman" w:hAnsi="Times New Roman" w:eastAsia="宋体" w:cs="Times New Roman"/>
        </w:rPr>
        <w:fldChar w:fldCharType="separate"/>
      </w:r>
      <w:r>
        <w:rPr>
          <w:rFonts w:hint="default" w:ascii="Times New Roman" w:hAnsi="Times New Roman" w:eastAsia="宋体" w:cs="Times New Roman"/>
        </w:rPr>
        <w:t>5.2 总量控制指标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_Toc18965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_Toc8964 </w:instrText>
      </w:r>
      <w:r>
        <w:rPr>
          <w:rFonts w:hint="default" w:ascii="Times New Roman" w:hAnsi="Times New Roman" w:eastAsia="宋体" w:cs="Times New Roman"/>
        </w:rPr>
        <w:fldChar w:fldCharType="separate"/>
      </w:r>
      <w:r>
        <w:rPr>
          <w:rFonts w:hint="default" w:ascii="Times New Roman" w:hAnsi="Times New Roman" w:eastAsia="宋体" w:cs="Times New Roman"/>
        </w:rPr>
        <w:t>6 质量保障措施和检测分析方法</w:t>
      </w:r>
      <w:r>
        <w:tab/>
      </w:r>
      <w:r>
        <w:fldChar w:fldCharType="begin"/>
      </w:r>
      <w:r>
        <w:instrText xml:space="preserve"> PAGEREF _Toc8964 </w:instrText>
      </w:r>
      <w:r>
        <w:fldChar w:fldCharType="separate"/>
      </w:r>
      <w:r>
        <w:t>22</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_Toc21494 </w:instrText>
      </w:r>
      <w:r>
        <w:rPr>
          <w:rFonts w:hint="default" w:ascii="Times New Roman" w:hAnsi="Times New Roman" w:eastAsia="宋体" w:cs="Times New Roman"/>
        </w:rPr>
        <w:fldChar w:fldCharType="separate"/>
      </w:r>
      <w:r>
        <w:rPr>
          <w:rFonts w:hint="default" w:ascii="Times New Roman" w:hAnsi="Times New Roman" w:eastAsia="宋体" w:cs="Times New Roman"/>
        </w:rPr>
        <w:t>6.1 质量保障体系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_Toc21494 </w:instrText>
      </w:r>
      <w:r>
        <w:rPr>
          <w:rFonts w:hint="default" w:ascii="Times New Roman" w:hAnsi="Times New Roman" w:eastAsia="宋体" w:cs="Times New Roman"/>
        </w:rPr>
        <w:fldChar w:fldCharType="separate"/>
      </w:r>
      <w:r>
        <w:rPr>
          <w:rFonts w:hint="default" w:ascii="Times New Roman" w:hAnsi="Times New Roman" w:eastAsia="宋体" w:cs="Times New Roman"/>
        </w:rPr>
        <w:t>22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_Toc28946 </w:instrText>
      </w:r>
      <w:r>
        <w:rPr>
          <w:rFonts w:hint="default" w:ascii="Times New Roman" w:hAnsi="Times New Roman" w:eastAsia="宋体" w:cs="Times New Roman"/>
        </w:rPr>
        <w:fldChar w:fldCharType="separate"/>
      </w:r>
      <w:r>
        <w:rPr>
          <w:rFonts w:hint="default" w:ascii="Times New Roman" w:hAnsi="Times New Roman" w:eastAsia="宋体" w:cs="Times New Roman"/>
        </w:rPr>
        <w:t>6.2 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_Toc28946 </w:instrText>
      </w:r>
      <w:r>
        <w:rPr>
          <w:rFonts w:hint="default" w:ascii="Times New Roman" w:hAnsi="Times New Roman" w:eastAsia="宋体" w:cs="Times New Roman"/>
        </w:rPr>
        <w:fldChar w:fldCharType="separate"/>
      </w:r>
      <w:r>
        <w:rPr>
          <w:rFonts w:hint="default" w:ascii="Times New Roman" w:hAnsi="Times New Roman" w:eastAsia="宋体" w:cs="Times New Roman"/>
        </w:rPr>
        <w:t>22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_Toc8277 </w:instrText>
      </w:r>
      <w:r>
        <w:rPr>
          <w:rFonts w:hint="default" w:ascii="Times New Roman" w:hAnsi="Times New Roman" w:eastAsia="宋体" w:cs="Times New Roman"/>
        </w:rPr>
        <w:fldChar w:fldCharType="separate"/>
      </w:r>
      <w:r>
        <w:rPr>
          <w:rFonts w:hint="default" w:ascii="Times New Roman" w:hAnsi="Times New Roman" w:eastAsia="宋体" w:cs="Times New Roman"/>
        </w:rPr>
        <w:t>6.2.1 检测点位、项目及频次</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_Toc8277 </w:instrText>
      </w:r>
      <w:r>
        <w:rPr>
          <w:rFonts w:hint="default" w:ascii="Times New Roman" w:hAnsi="Times New Roman" w:eastAsia="宋体" w:cs="Times New Roman"/>
        </w:rPr>
        <w:fldChar w:fldCharType="separate"/>
      </w:r>
      <w:r>
        <w:rPr>
          <w:rFonts w:hint="default" w:ascii="Times New Roman" w:hAnsi="Times New Roman" w:eastAsia="宋体" w:cs="Times New Roman"/>
        </w:rPr>
        <w:t>22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_Toc31605 </w:instrText>
      </w:r>
      <w:r>
        <w:rPr>
          <w:rFonts w:hint="default" w:ascii="Times New Roman" w:hAnsi="Times New Roman" w:eastAsia="宋体" w:cs="Times New Roman"/>
        </w:rPr>
        <w:fldChar w:fldCharType="separate"/>
      </w:r>
      <w:r>
        <w:rPr>
          <w:rFonts w:hint="default" w:ascii="Times New Roman" w:hAnsi="Times New Roman" w:eastAsia="宋体" w:cs="Times New Roman"/>
        </w:rPr>
        <w:t>6.2.2检测分析方法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_Toc31605 </w:instrText>
      </w:r>
      <w:r>
        <w:rPr>
          <w:rFonts w:hint="default" w:ascii="Times New Roman" w:hAnsi="Times New Roman" w:eastAsia="宋体" w:cs="Times New Roman"/>
        </w:rPr>
        <w:fldChar w:fldCharType="separate"/>
      </w:r>
      <w:r>
        <w:rPr>
          <w:rFonts w:hint="default" w:ascii="Times New Roman" w:hAnsi="Times New Roman" w:eastAsia="宋体" w:cs="Times New Roman"/>
        </w:rPr>
        <w:t>23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_Toc31049 </w:instrText>
      </w:r>
      <w:r>
        <w:rPr>
          <w:rFonts w:hint="default" w:ascii="Times New Roman" w:hAnsi="Times New Roman" w:eastAsia="宋体" w:cs="Times New Roman"/>
        </w:rPr>
        <w:fldChar w:fldCharType="separate"/>
      </w:r>
      <w:r>
        <w:rPr>
          <w:rFonts w:hint="default" w:ascii="Times New Roman" w:hAnsi="Times New Roman" w:eastAsia="宋体" w:cs="Times New Roman"/>
        </w:rPr>
        <w:t>6.2.3 检测点位示意图</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_Toc31049 </w:instrText>
      </w:r>
      <w:r>
        <w:rPr>
          <w:rFonts w:hint="default" w:ascii="Times New Roman" w:hAnsi="Times New Roman" w:eastAsia="宋体" w:cs="Times New Roman"/>
        </w:rPr>
        <w:fldChar w:fldCharType="separate"/>
      </w:r>
      <w:r>
        <w:rPr>
          <w:rFonts w:hint="default" w:ascii="Times New Roman" w:hAnsi="Times New Roman" w:eastAsia="宋体" w:cs="Times New Roman"/>
        </w:rPr>
        <w:t>24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_Toc13413 </w:instrText>
      </w:r>
      <w:r>
        <w:rPr>
          <w:rFonts w:hint="default" w:ascii="Times New Roman" w:hAnsi="Times New Roman" w:eastAsia="宋体" w:cs="Times New Roman"/>
        </w:rPr>
        <w:fldChar w:fldCharType="separate"/>
      </w:r>
      <w:r>
        <w:rPr>
          <w:rFonts w:hint="default" w:ascii="Times New Roman" w:hAnsi="Times New Roman" w:eastAsia="宋体" w:cs="Times New Roman"/>
        </w:rPr>
        <w:t>7 验收检测结果及分析</w:t>
      </w:r>
      <w:r>
        <w:tab/>
      </w:r>
      <w:r>
        <w:fldChar w:fldCharType="begin"/>
      </w:r>
      <w:r>
        <w:instrText xml:space="preserve"> PAGEREF _Toc13413 </w:instrText>
      </w:r>
      <w:r>
        <w:fldChar w:fldCharType="separate"/>
      </w:r>
      <w:r>
        <w:t>25</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_Toc32441 </w:instrText>
      </w:r>
      <w:r>
        <w:rPr>
          <w:rFonts w:hint="default" w:ascii="Times New Roman" w:hAnsi="Times New Roman" w:eastAsia="宋体" w:cs="Times New Roman"/>
        </w:rPr>
        <w:fldChar w:fldCharType="separate"/>
      </w:r>
      <w:r>
        <w:rPr>
          <w:rFonts w:hint="default" w:ascii="Times New Roman" w:hAnsi="Times New Roman" w:eastAsia="宋体" w:cs="Times New Roman"/>
        </w:rPr>
        <w:t>7.1 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_Toc32441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_Toc8307 </w:instrText>
      </w:r>
      <w:r>
        <w:rPr>
          <w:rFonts w:hint="default" w:ascii="Times New Roman" w:hAnsi="Times New Roman" w:eastAsia="宋体" w:cs="Times New Roman"/>
        </w:rPr>
        <w:fldChar w:fldCharType="separate"/>
      </w:r>
      <w:r>
        <w:rPr>
          <w:rFonts w:hint="default" w:ascii="Times New Roman" w:hAnsi="Times New Roman" w:eastAsia="宋体" w:cs="Times New Roman"/>
        </w:rPr>
        <w:t>7.1.1 废气检测结果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_Toc8307 </w:instrText>
      </w:r>
      <w:r>
        <w:rPr>
          <w:rFonts w:hint="default" w:ascii="Times New Roman" w:hAnsi="Times New Roman" w:eastAsia="宋体" w:cs="Times New Roman"/>
        </w:rPr>
        <w:fldChar w:fldCharType="separate"/>
      </w:r>
      <w:r>
        <w:rPr>
          <w:rFonts w:hint="default" w:ascii="Times New Roman" w:hAnsi="Times New Roman" w:eastAsia="宋体" w:cs="Times New Roman"/>
        </w:rPr>
        <w:t>25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eastAsia" w:ascii="Times New Roman" w:hAnsi="Times New Roman" w:eastAsia="宋体" w:cs="Times New Roman"/>
          <w:lang w:val="en-US" w:eastAsia="zh-C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_Toc3558 </w:instrText>
      </w:r>
      <w:r>
        <w:rPr>
          <w:rFonts w:hint="default" w:ascii="Times New Roman" w:hAnsi="Times New Roman" w:eastAsia="宋体" w:cs="Times New Roman"/>
        </w:rPr>
        <w:fldChar w:fldCharType="separate"/>
      </w:r>
      <w:r>
        <w:rPr>
          <w:rFonts w:hint="default" w:ascii="Times New Roman" w:hAnsi="Times New Roman" w:eastAsia="宋体" w:cs="Times New Roman"/>
        </w:rPr>
        <w:t>7.1.2 噪声检测结果</w:t>
      </w:r>
      <w:r>
        <w:rPr>
          <w:rFonts w:hint="default" w:ascii="Times New Roman" w:hAnsi="Times New Roman" w:eastAsia="宋体" w:cs="Times New Roman"/>
        </w:rPr>
        <w:tab/>
      </w:r>
      <w:r>
        <w:rPr>
          <w:rFonts w:hint="eastAsia" w:ascii="Times New Roman" w:hAnsi="Times New Roman" w:cs="Times New Roman"/>
          <w:lang w:val="en-US" w:eastAsia="zh-CN"/>
        </w:rPr>
        <w:t>2</w:t>
      </w:r>
      <w:r>
        <w:rPr>
          <w:rFonts w:hint="default" w:ascii="Times New Roman" w:hAnsi="Times New Roman" w:eastAsia="宋体" w:cs="Times New Roman"/>
        </w:rPr>
        <w:fldChar w:fldCharType="end"/>
      </w:r>
      <w:r>
        <w:rPr>
          <w:rFonts w:hint="eastAsia" w:ascii="Times New Roman" w:hAnsi="Times New Roman" w:cs="Times New Roman"/>
          <w:lang w:val="en-US" w:eastAsia="zh-CN"/>
        </w:rPr>
        <w:t>7</w:t>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_Toc11285 </w:instrText>
      </w:r>
      <w:r>
        <w:rPr>
          <w:rFonts w:hint="default" w:ascii="Times New Roman" w:hAnsi="Times New Roman" w:eastAsia="宋体" w:cs="Times New Roman"/>
        </w:rPr>
        <w:fldChar w:fldCharType="separate"/>
      </w:r>
      <w:r>
        <w:rPr>
          <w:rFonts w:hint="default" w:ascii="Times New Roman" w:hAnsi="Times New Roman" w:eastAsia="宋体" w:cs="Times New Roman"/>
        </w:rPr>
        <w:t>7.2 检测结果分析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_Toc11285 </w:instrText>
      </w:r>
      <w:r>
        <w:rPr>
          <w:rFonts w:hint="default" w:ascii="Times New Roman" w:hAnsi="Times New Roman" w:eastAsia="宋体" w:cs="Times New Roman"/>
        </w:rPr>
        <w:fldChar w:fldCharType="separate"/>
      </w:r>
      <w:r>
        <w:rPr>
          <w:rFonts w:hint="default" w:ascii="Times New Roman" w:hAnsi="Times New Roman" w:eastAsia="宋体" w:cs="Times New Roman"/>
        </w:rPr>
        <w:t>28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_Toc24171 </w:instrText>
      </w:r>
      <w:r>
        <w:rPr>
          <w:rFonts w:hint="default" w:ascii="Times New Roman" w:hAnsi="Times New Roman" w:eastAsia="宋体" w:cs="Times New Roman"/>
        </w:rPr>
        <w:fldChar w:fldCharType="separate"/>
      </w:r>
      <w:r>
        <w:rPr>
          <w:rFonts w:hint="default" w:ascii="Times New Roman" w:hAnsi="Times New Roman" w:eastAsia="宋体" w:cs="Times New Roman"/>
        </w:rPr>
        <w:t>7.2.1 废气检测结果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_Toc24171 </w:instrText>
      </w:r>
      <w:r>
        <w:rPr>
          <w:rFonts w:hint="default" w:ascii="Times New Roman" w:hAnsi="Times New Roman" w:eastAsia="宋体" w:cs="Times New Roman"/>
        </w:rPr>
        <w:fldChar w:fldCharType="separate"/>
      </w:r>
      <w:r>
        <w:rPr>
          <w:rFonts w:hint="default" w:ascii="Times New Roman" w:hAnsi="Times New Roman" w:eastAsia="宋体" w:cs="Times New Roman"/>
        </w:rPr>
        <w:t>28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_Toc10877 </w:instrText>
      </w:r>
      <w:r>
        <w:rPr>
          <w:rFonts w:hint="default" w:ascii="Times New Roman" w:hAnsi="Times New Roman" w:eastAsia="宋体" w:cs="Times New Roman"/>
        </w:rPr>
        <w:fldChar w:fldCharType="separate"/>
      </w:r>
      <w:r>
        <w:rPr>
          <w:rFonts w:hint="default" w:ascii="Times New Roman" w:hAnsi="Times New Roman" w:eastAsia="宋体" w:cs="Times New Roman"/>
        </w:rPr>
        <w:t>7.2.2 噪声检测结果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_Toc10877 </w:instrText>
      </w:r>
      <w:r>
        <w:rPr>
          <w:rFonts w:hint="default" w:ascii="Times New Roman" w:hAnsi="Times New Roman" w:eastAsia="宋体" w:cs="Times New Roman"/>
        </w:rPr>
        <w:fldChar w:fldCharType="separate"/>
      </w:r>
      <w:r>
        <w:rPr>
          <w:rFonts w:hint="default" w:ascii="Times New Roman" w:hAnsi="Times New Roman" w:eastAsia="宋体" w:cs="Times New Roman"/>
        </w:rPr>
        <w:t>28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_Toc3190 </w:instrText>
      </w:r>
      <w:r>
        <w:rPr>
          <w:rFonts w:hint="default" w:ascii="Times New Roman" w:hAnsi="Times New Roman" w:eastAsia="宋体" w:cs="Times New Roman"/>
        </w:rPr>
        <w:fldChar w:fldCharType="separate"/>
      </w:r>
      <w:r>
        <w:rPr>
          <w:rFonts w:hint="default" w:ascii="Times New Roman" w:hAnsi="Times New Roman" w:eastAsia="宋体" w:cs="Times New Roman"/>
        </w:rPr>
        <w:t>7.3 总量控制要求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_Toc3190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_Toc1450 </w:instrText>
      </w:r>
      <w:r>
        <w:rPr>
          <w:rFonts w:hint="default" w:ascii="Times New Roman" w:hAnsi="Times New Roman" w:eastAsia="宋体" w:cs="Times New Roman"/>
        </w:rPr>
        <w:fldChar w:fldCharType="separate"/>
      </w:r>
      <w:r>
        <w:rPr>
          <w:rFonts w:hint="default" w:ascii="Times New Roman" w:hAnsi="Times New Roman" w:eastAsia="宋体" w:cs="Times New Roman"/>
        </w:rPr>
        <w:t>8 环境管理检查</w:t>
      </w:r>
      <w:r>
        <w:tab/>
      </w:r>
      <w:r>
        <w:fldChar w:fldCharType="begin"/>
      </w:r>
      <w:r>
        <w:instrText xml:space="preserve"> PAGEREF _Toc1450 </w:instrText>
      </w:r>
      <w:r>
        <w:fldChar w:fldCharType="separate"/>
      </w:r>
      <w:r>
        <w:t>30</w:t>
      </w:r>
      <w: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_Toc10149 </w:instrText>
      </w:r>
      <w:r>
        <w:rPr>
          <w:rFonts w:hint="default" w:ascii="Times New Roman" w:hAnsi="Times New Roman" w:eastAsia="宋体" w:cs="Times New Roman"/>
        </w:rPr>
        <w:fldChar w:fldCharType="separate"/>
      </w:r>
      <w:r>
        <w:rPr>
          <w:rFonts w:hint="default" w:ascii="Times New Roman" w:hAnsi="Times New Roman" w:eastAsia="宋体" w:cs="Times New Roman"/>
        </w:rPr>
        <w:t>8.1 环保管理机构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_Toc10149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_Toc6176 </w:instrText>
      </w:r>
      <w:r>
        <w:rPr>
          <w:rFonts w:hint="default" w:ascii="Times New Roman" w:hAnsi="Times New Roman" w:eastAsia="宋体" w:cs="Times New Roman"/>
        </w:rPr>
        <w:fldChar w:fldCharType="separate"/>
      </w:r>
      <w:r>
        <w:rPr>
          <w:rFonts w:hint="default" w:ascii="Times New Roman" w:hAnsi="Times New Roman" w:eastAsia="宋体" w:cs="Times New Roman"/>
        </w:rPr>
        <w:t>8.2 施工期环境管理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_Toc6176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_Toc1494 </w:instrText>
      </w:r>
      <w:r>
        <w:rPr>
          <w:rFonts w:hint="default" w:ascii="Times New Roman" w:hAnsi="Times New Roman" w:eastAsia="宋体" w:cs="Times New Roman"/>
        </w:rPr>
        <w:fldChar w:fldCharType="separate"/>
      </w:r>
      <w:r>
        <w:rPr>
          <w:rFonts w:hint="default" w:ascii="Times New Roman" w:hAnsi="Times New Roman" w:eastAsia="宋体" w:cs="Times New Roman"/>
        </w:rPr>
        <w:t>8.3 运行期环境管理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_Toc1494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_Toc30705 </w:instrText>
      </w:r>
      <w:r>
        <w:rPr>
          <w:rFonts w:hint="default" w:ascii="Times New Roman" w:hAnsi="Times New Roman" w:eastAsia="宋体" w:cs="Times New Roman"/>
        </w:rPr>
        <w:fldChar w:fldCharType="separate"/>
      </w:r>
      <w:r>
        <w:rPr>
          <w:rFonts w:hint="default" w:ascii="Times New Roman" w:hAnsi="Times New Roman" w:eastAsia="宋体" w:cs="Times New Roman"/>
        </w:rPr>
        <w:t>8.4 社会环境影响情况调查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_Toc30705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_Toc17881 </w:instrText>
      </w:r>
      <w:r>
        <w:rPr>
          <w:rFonts w:hint="default" w:ascii="Times New Roman" w:hAnsi="Times New Roman" w:eastAsia="宋体" w:cs="Times New Roman"/>
        </w:rPr>
        <w:fldChar w:fldCharType="separate"/>
      </w:r>
      <w:r>
        <w:rPr>
          <w:rFonts w:hint="default" w:ascii="Times New Roman" w:hAnsi="Times New Roman" w:eastAsia="宋体" w:cs="Times New Roman"/>
        </w:rPr>
        <w:t>8.5 环境管理情况分析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_Toc17881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_Toc11684 </w:instrText>
      </w:r>
      <w:r>
        <w:rPr>
          <w:rFonts w:hint="default" w:ascii="Times New Roman" w:hAnsi="Times New Roman" w:eastAsia="宋体" w:cs="Times New Roman"/>
        </w:rPr>
        <w:fldChar w:fldCharType="separate"/>
      </w:r>
      <w:r>
        <w:rPr>
          <w:rFonts w:hint="default" w:ascii="Times New Roman" w:hAnsi="Times New Roman" w:eastAsia="宋体" w:cs="Times New Roman"/>
        </w:rPr>
        <w:t>9 结论和建议</w:t>
      </w:r>
      <w:r>
        <w:tab/>
      </w:r>
      <w:r>
        <w:fldChar w:fldCharType="begin"/>
      </w:r>
      <w:r>
        <w:instrText xml:space="preserve"> PAGEREF _Toc11684 </w:instrText>
      </w:r>
      <w:r>
        <w:fldChar w:fldCharType="separate"/>
      </w:r>
      <w:r>
        <w:t>31</w:t>
      </w:r>
      <w: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_Toc1836 </w:instrText>
      </w:r>
      <w:r>
        <w:rPr>
          <w:rFonts w:hint="default" w:ascii="Times New Roman" w:hAnsi="Times New Roman" w:eastAsia="宋体" w:cs="Times New Roman"/>
        </w:rPr>
        <w:fldChar w:fldCharType="separate"/>
      </w:r>
      <w:r>
        <w:rPr>
          <w:rFonts w:hint="default" w:ascii="Times New Roman" w:hAnsi="Times New Roman" w:eastAsia="宋体" w:cs="Times New Roman"/>
        </w:rPr>
        <w:t>9.1 验收主要结论</w:t>
      </w:r>
      <w:r>
        <w:tab/>
      </w:r>
      <w:r>
        <w:fldChar w:fldCharType="begin"/>
      </w:r>
      <w:r>
        <w:instrText xml:space="preserve"> PAGEREF _Toc1836 </w:instrText>
      </w:r>
      <w:r>
        <w:fldChar w:fldCharType="separate"/>
      </w:r>
      <w:r>
        <w:t>31</w:t>
      </w:r>
      <w:r>
        <w:fldChar w:fldCharType="end"/>
      </w:r>
      <w:r>
        <w:rPr>
          <w:rFonts w:hint="default" w:ascii="Times New Roman" w:hAnsi="Times New Roman" w:eastAsia="宋体" w:cs="Times New Roman"/>
        </w:rPr>
        <w:fldChar w:fldCharType="end"/>
      </w:r>
    </w:p>
    <w:p>
      <w:pPr>
        <w:pStyle w:val="19"/>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_Toc24691 </w:instrText>
      </w:r>
      <w:r>
        <w:rPr>
          <w:rFonts w:hint="default" w:ascii="Times New Roman" w:hAnsi="Times New Roman" w:eastAsia="宋体" w:cs="Times New Roman"/>
        </w:rPr>
        <w:fldChar w:fldCharType="separate"/>
      </w:r>
      <w:r>
        <w:rPr>
          <w:rFonts w:hint="default" w:ascii="Times New Roman" w:hAnsi="Times New Roman" w:eastAsia="宋体" w:cs="Times New Roman"/>
          <w:spacing w:val="0"/>
        </w:rPr>
        <w:t>9.2 建议</w:t>
      </w:r>
      <w:r>
        <w:tab/>
      </w:r>
      <w:r>
        <w:fldChar w:fldCharType="begin"/>
      </w:r>
      <w:r>
        <w:instrText xml:space="preserve"> PAGEREF _Toc24691 </w:instrText>
      </w:r>
      <w:r>
        <w:fldChar w:fldCharType="separate"/>
      </w:r>
      <w:r>
        <w:t>32</w:t>
      </w:r>
      <w:r>
        <w:fldChar w:fldCharType="end"/>
      </w:r>
      <w:r>
        <w:rPr>
          <w:rFonts w:hint="default" w:ascii="Times New Roman" w:hAnsi="Times New Roman" w:eastAsia="宋体" w:cs="Times New Roman"/>
        </w:rPr>
        <w:fldChar w:fldCharType="end"/>
      </w:r>
    </w:p>
    <w:p>
      <w:pPr>
        <w:pStyle w:val="12"/>
        <w:tabs>
          <w:tab w:val="right" w:leader="dot" w:pos="8306"/>
        </w:tabs>
      </w:pPr>
    </w:p>
    <w:p>
      <w:pPr>
        <w:pStyle w:val="19"/>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keepNext w:val="0"/>
        <w:keepLines w:val="0"/>
        <w:pageBreakBefore w:val="0"/>
        <w:widowControl w:val="0"/>
        <w:tabs>
          <w:tab w:val="center" w:pos="4153"/>
        </w:tabs>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eastAsia" w:ascii="Times New Roman" w:hAnsi="Times New Roman" w:eastAsia="宋体" w:cs="Times New Roman"/>
          <w:b/>
          <w:sz w:val="30"/>
          <w:szCs w:val="30"/>
          <w:lang w:eastAsia="zh-CN"/>
        </w:rPr>
      </w:pPr>
      <w:r>
        <w:rPr>
          <w:rFonts w:hint="default" w:ascii="Times New Roman" w:hAnsi="Times New Roman" w:eastAsia="宋体" w:cs="Times New Roman"/>
          <w:b/>
          <w:sz w:val="30"/>
          <w:szCs w:val="30"/>
        </w:rPr>
        <w:t>附件</w:t>
      </w:r>
      <w:r>
        <w:rPr>
          <w:rFonts w:hint="eastAsia" w:ascii="Times New Roman" w:hAnsi="Times New Roman" w:cs="Times New Roman"/>
          <w:b/>
          <w:sz w:val="30"/>
          <w:szCs w:val="30"/>
          <w:lang w:eastAsia="zh-CN"/>
        </w:rPr>
        <w:tab/>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spacing w:line="480" w:lineRule="atLeast"/>
        <w:rPr>
          <w:rFonts w:hint="default" w:ascii="Times New Roman" w:hAnsi="Times New Roman" w:eastAsia="宋体" w:cs="Times New Roman"/>
          <w:sz w:val="24"/>
          <w:szCs w:val="24"/>
          <w:lang w:val="en-US" w:eastAsia="zh-CN"/>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titlePg/>
          <w:docGrid w:type="lines" w:linePitch="312" w:charSpace="0"/>
        </w:sectPr>
      </w:pPr>
      <w:r>
        <w:rPr>
          <w:rFonts w:hint="eastAsia" w:ascii="Times New Roman" w:hAnsi="Times New Roman" w:cs="Times New Roman"/>
          <w:sz w:val="24"/>
          <w:szCs w:val="24"/>
          <w:lang w:val="en-US" w:eastAsia="zh-CN"/>
        </w:rPr>
        <w:t>3、</w:t>
      </w:r>
      <w:r>
        <w:rPr>
          <w:rFonts w:hint="eastAsia" w:ascii="Times New Roman" w:hAnsi="Times New Roman" w:eastAsia="宋体" w:cs="Times New Roman"/>
          <w:sz w:val="24"/>
          <w:szCs w:val="24"/>
          <w:lang w:val="en-US" w:eastAsia="zh-CN"/>
        </w:rPr>
        <w:t>危废协议</w:t>
      </w:r>
    </w:p>
    <w:p>
      <w:pPr>
        <w:pStyle w:val="3"/>
        <w:jc w:val="center"/>
        <w:rPr>
          <w:rFonts w:hint="default" w:ascii="Times New Roman" w:hAnsi="Times New Roman" w:eastAsia="宋体" w:cs="Times New Roman"/>
        </w:rPr>
      </w:pPr>
      <w:bookmarkStart w:id="3" w:name="_Toc20373"/>
      <w:bookmarkStart w:id="4" w:name="_Toc10004"/>
      <w:bookmarkStart w:id="5" w:name="_Toc9675"/>
      <w:bookmarkStart w:id="6" w:name="_Toc24992"/>
      <w:r>
        <w:rPr>
          <w:rFonts w:hint="default" w:ascii="Times New Roman" w:hAnsi="Times New Roman" w:eastAsia="宋体" w:cs="Times New Roman"/>
        </w:rPr>
        <w:t>前  言</w:t>
      </w:r>
      <w:bookmarkEnd w:id="3"/>
      <w:bookmarkEnd w:id="4"/>
      <w:bookmarkEnd w:id="5"/>
      <w:bookmarkEnd w:id="6"/>
    </w:p>
    <w:p>
      <w:pPr>
        <w:spacing w:line="360" w:lineRule="auto"/>
        <w:ind w:firstLine="480" w:firstLineChars="200"/>
        <w:jc w:val="left"/>
        <w:rPr>
          <w:rFonts w:hint="eastAsia" w:ascii="Times New Roman" w:hAnsi="Times New Roman" w:cs="Times New Roman"/>
          <w:sz w:val="24"/>
          <w:szCs w:val="24"/>
          <w:lang w:eastAsia="zh-CN"/>
        </w:rPr>
      </w:pPr>
      <w:r>
        <w:rPr>
          <w:rFonts w:hint="eastAsia"/>
          <w:snapToGrid w:val="0"/>
          <w:kern w:val="0"/>
          <w:sz w:val="24"/>
          <w:szCs w:val="24"/>
        </w:rPr>
        <w:t>沧州市新</w:t>
      </w:r>
      <w:r>
        <w:rPr>
          <w:rFonts w:hint="eastAsia" w:ascii="Times New Roman" w:hAnsi="Times New Roman" w:cs="Times New Roman"/>
          <w:sz w:val="24"/>
          <w:szCs w:val="24"/>
          <w:lang w:val="en-US" w:eastAsia="zh-CN"/>
        </w:rPr>
        <w:t>华区路捷汽车维修服务中心</w:t>
      </w:r>
      <w:r>
        <w:rPr>
          <w:rFonts w:hint="default" w:ascii="Times New Roman" w:hAnsi="Times New Roman" w:cs="Times New Roman"/>
          <w:sz w:val="24"/>
          <w:szCs w:val="24"/>
          <w:lang w:val="en-US" w:eastAsia="zh-CN"/>
        </w:rPr>
        <w:t>位于</w:t>
      </w:r>
      <w:r>
        <w:rPr>
          <w:rFonts w:hint="eastAsia" w:ascii="Times New Roman" w:hAnsi="Times New Roman" w:cs="Times New Roman"/>
          <w:sz w:val="24"/>
          <w:szCs w:val="24"/>
          <w:lang w:val="en-US" w:eastAsia="zh-CN"/>
        </w:rPr>
        <w:t>位于沧州市新华区307国道与清池大道交汇处北100米路东侧。企业投资120万元，建设沧州市新华区路捷汽车维修服务中心汽车维修项目。</w:t>
      </w:r>
    </w:p>
    <w:p>
      <w:pPr>
        <w:spacing w:line="360" w:lineRule="auto"/>
        <w:ind w:firstLine="480" w:firstLineChars="200"/>
        <w:jc w:val="left"/>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2020年07月，企</w:t>
      </w:r>
      <w:r>
        <w:rPr>
          <w:rFonts w:hint="eastAsia" w:ascii="Times New Roman" w:hAnsi="Times New Roman" w:cs="Times New Roman"/>
          <w:sz w:val="24"/>
          <w:szCs w:val="24"/>
          <w:highlight w:val="none"/>
          <w:lang w:val="en-US" w:eastAsia="zh-CN"/>
        </w:rPr>
        <w:t>业委托</w:t>
      </w:r>
      <w:r>
        <w:rPr>
          <w:rFonts w:hint="eastAsia" w:ascii="宋体" w:hAnsi="宋体" w:cs="宋体"/>
          <w:sz w:val="24"/>
          <w:highlight w:val="none"/>
          <w:lang w:eastAsia="zh-CN"/>
        </w:rPr>
        <w:t>沧州硕辉环保科技有限公司</w:t>
      </w:r>
      <w:r>
        <w:rPr>
          <w:rFonts w:hint="default" w:ascii="Times New Roman" w:hAnsi="Times New Roman" w:cs="Times New Roman"/>
          <w:color w:val="auto"/>
          <w:sz w:val="24"/>
          <w:szCs w:val="24"/>
          <w:highlight w:val="none"/>
          <w:lang w:val="en-US" w:eastAsia="zh-CN"/>
        </w:rPr>
        <w:t>编制完成了《</w:t>
      </w:r>
      <w:r>
        <w:rPr>
          <w:rFonts w:hint="eastAsia"/>
          <w:snapToGrid w:val="0"/>
          <w:kern w:val="0"/>
          <w:sz w:val="24"/>
          <w:szCs w:val="24"/>
        </w:rPr>
        <w:t>沧州市新华区路捷汽车维修服务中心汽车维修项目</w:t>
      </w:r>
      <w:r>
        <w:rPr>
          <w:rFonts w:hint="default" w:ascii="Times New Roman" w:hAnsi="Times New Roman" w:cs="Times New Roman"/>
          <w:color w:val="auto"/>
          <w:sz w:val="24"/>
          <w:szCs w:val="24"/>
          <w:lang w:val="en-US" w:eastAsia="zh-CN"/>
        </w:rPr>
        <w:t>环境影响报告表》，</w:t>
      </w:r>
      <w:r>
        <w:rPr>
          <w:rFonts w:hint="eastAsia" w:ascii="Times New Roman" w:hAnsi="Times New Roman" w:cs="Times New Roman"/>
          <w:color w:val="auto"/>
          <w:sz w:val="24"/>
          <w:szCs w:val="24"/>
          <w:lang w:val="en-US" w:eastAsia="zh-CN"/>
        </w:rPr>
        <w:t>并于2020年08月05</w:t>
      </w:r>
      <w:r>
        <w:rPr>
          <w:rFonts w:hint="eastAsia" w:ascii="Times New Roman" w:hAnsi="Times New Roman" w:cs="Times New Roman"/>
          <w:color w:val="auto"/>
          <w:sz w:val="24"/>
          <w:szCs w:val="24"/>
          <w:highlight w:val="none"/>
          <w:lang w:val="en-US" w:eastAsia="zh-CN"/>
        </w:rPr>
        <w:t>日</w:t>
      </w:r>
      <w:r>
        <w:rPr>
          <w:rFonts w:hint="default" w:ascii="Times New Roman" w:hAnsi="Times New Roman" w:cs="Times New Roman"/>
          <w:color w:val="auto"/>
          <w:sz w:val="24"/>
          <w:szCs w:val="24"/>
          <w:highlight w:val="none"/>
          <w:lang w:val="en-US" w:eastAsia="zh-CN"/>
        </w:rPr>
        <w:t>取得了</w:t>
      </w:r>
      <w:r>
        <w:rPr>
          <w:rFonts w:hint="eastAsia" w:ascii="Times New Roman" w:hAnsi="Times New Roman" w:cs="Times New Roman"/>
          <w:color w:val="auto"/>
          <w:sz w:val="24"/>
          <w:szCs w:val="24"/>
          <w:highlight w:val="none"/>
          <w:lang w:val="en-US" w:eastAsia="zh-CN"/>
        </w:rPr>
        <w:t>沧州市生态环境局新华区分局</w:t>
      </w:r>
      <w:r>
        <w:rPr>
          <w:rFonts w:hint="default" w:ascii="Times New Roman" w:hAnsi="Times New Roman" w:cs="Times New Roman"/>
          <w:color w:val="auto"/>
          <w:sz w:val="24"/>
          <w:szCs w:val="24"/>
          <w:highlight w:val="none"/>
          <w:lang w:val="en-US" w:eastAsia="zh-CN"/>
        </w:rPr>
        <w:t>的</w:t>
      </w:r>
      <w:r>
        <w:rPr>
          <w:rFonts w:hint="eastAsia" w:ascii="Times New Roman" w:hAnsi="Times New Roman" w:cs="Times New Roman"/>
          <w:color w:val="auto"/>
          <w:sz w:val="24"/>
          <w:szCs w:val="24"/>
          <w:highlight w:val="none"/>
          <w:lang w:val="en-US" w:eastAsia="zh-CN"/>
        </w:rPr>
        <w:t>审批</w:t>
      </w:r>
      <w:r>
        <w:rPr>
          <w:rFonts w:hint="default" w:ascii="Times New Roman" w:hAnsi="Times New Roman" w:cs="Times New Roman"/>
          <w:color w:val="auto"/>
          <w:sz w:val="24"/>
          <w:szCs w:val="24"/>
          <w:highlight w:val="none"/>
          <w:lang w:val="en-US" w:eastAsia="zh-CN"/>
        </w:rPr>
        <w:t>，批复文号为</w:t>
      </w:r>
      <w:r>
        <w:rPr>
          <w:rFonts w:hint="eastAsia" w:ascii="Times New Roman" w:hAnsi="Times New Roman" w:cs="Times New Roman"/>
          <w:color w:val="auto"/>
          <w:sz w:val="24"/>
          <w:szCs w:val="24"/>
          <w:highlight w:val="none"/>
          <w:lang w:val="en-US" w:eastAsia="zh-CN"/>
        </w:rPr>
        <w:t>沧新环表[2020]11号。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lang w:val="en-US" w:eastAsia="zh-CN"/>
        </w:rPr>
      </w:pPr>
      <w:r>
        <w:rPr>
          <w:rFonts w:hint="eastAsia"/>
          <w:snapToGrid w:val="0"/>
          <w:kern w:val="0"/>
          <w:sz w:val="24"/>
          <w:szCs w:val="24"/>
        </w:rPr>
        <w:t>沧州市新华区路捷汽车维修服务中心汽车维修项目</w:t>
      </w:r>
      <w:r>
        <w:rPr>
          <w:rFonts w:hint="eastAsia"/>
          <w:snapToGrid w:val="0"/>
          <w:kern w:val="0"/>
          <w:sz w:val="24"/>
          <w:szCs w:val="24"/>
          <w:lang w:eastAsia="zh-CN"/>
        </w:rPr>
        <w:t>已</w:t>
      </w:r>
      <w:r>
        <w:rPr>
          <w:rFonts w:hint="eastAsia" w:ascii="Times New Roman" w:hAnsi="Times New Roman" w:cs="Times New Roman"/>
          <w:sz w:val="24"/>
          <w:szCs w:val="24"/>
          <w:lang w:val="en-US" w:eastAsia="zh-CN"/>
        </w:rPr>
        <w:t>建设完成</w:t>
      </w:r>
      <w:r>
        <w:rPr>
          <w:rFonts w:hint="default" w:ascii="Times New Roman" w:hAnsi="Times New Roman" w:cs="Times New Roman"/>
          <w:sz w:val="24"/>
          <w:szCs w:val="24"/>
          <w:lang w:val="en-US" w:eastAsia="zh-CN"/>
        </w:rPr>
        <w:t>并进入调试阶段，根据《建设项目环境保护管理条例》（国务院第682号令）、《建设项目竣工环境保护验收暂行办法》（国环规环评【2017】4号）的有关规定，受</w:t>
      </w:r>
      <w:r>
        <w:rPr>
          <w:rFonts w:hint="eastAsia"/>
          <w:snapToGrid w:val="0"/>
          <w:kern w:val="0"/>
          <w:sz w:val="24"/>
          <w:szCs w:val="24"/>
        </w:rPr>
        <w:t>沧州市新华区路捷汽车维修服务中心</w:t>
      </w:r>
      <w:r>
        <w:rPr>
          <w:rFonts w:hint="default" w:ascii="Times New Roman" w:hAnsi="Times New Roman" w:cs="Times New Roman"/>
          <w:sz w:val="24"/>
          <w:szCs w:val="24"/>
          <w:lang w:val="en-US" w:eastAsia="zh-CN"/>
        </w:rPr>
        <w:t>的委托，沧州燕赵环境监测技术服务有限公司于20</w:t>
      </w:r>
      <w:r>
        <w:rPr>
          <w:rFonts w:hint="eastAsia" w:ascii="Times New Roman" w:hAnsi="Times New Roman" w:cs="Times New Roman"/>
          <w:sz w:val="24"/>
          <w:szCs w:val="24"/>
          <w:lang w:val="en-US" w:eastAsia="zh-CN"/>
        </w:rPr>
        <w:t>20</w:t>
      </w:r>
      <w:r>
        <w:rPr>
          <w:rFonts w:hint="default" w:ascii="Times New Roman" w:hAnsi="Times New Roman" w:cs="Times New Roman"/>
          <w:sz w:val="24"/>
          <w:szCs w:val="24"/>
          <w:lang w:val="en-US" w:eastAsia="zh-CN"/>
        </w:rPr>
        <w:t>年</w:t>
      </w:r>
      <w:r>
        <w:rPr>
          <w:rFonts w:hint="eastAsia" w:ascii="Times New Roman" w:hAnsi="Times New Roman" w:cs="Times New Roman"/>
          <w:sz w:val="24"/>
          <w:szCs w:val="24"/>
          <w:lang w:val="en-US" w:eastAsia="zh-CN"/>
        </w:rPr>
        <w:t>08</w:t>
      </w:r>
      <w:r>
        <w:rPr>
          <w:rFonts w:hint="default" w:ascii="Times New Roman" w:hAnsi="Times New Roman" w:cs="Times New Roman"/>
          <w:sz w:val="24"/>
          <w:szCs w:val="24"/>
          <w:lang w:val="en-US" w:eastAsia="zh-CN"/>
        </w:rPr>
        <w:t>月</w:t>
      </w:r>
      <w:r>
        <w:rPr>
          <w:rFonts w:hint="eastAsia" w:ascii="Times New Roman" w:hAnsi="Times New Roman" w:cs="Times New Roman"/>
          <w:sz w:val="24"/>
          <w:szCs w:val="24"/>
          <w:lang w:val="en-US" w:eastAsia="zh-CN"/>
        </w:rPr>
        <w:t>24</w:t>
      </w:r>
      <w:r>
        <w:rPr>
          <w:rFonts w:hint="default" w:ascii="Times New Roman" w:hAnsi="Times New Roman" w:cs="Times New Roman"/>
          <w:sz w:val="24"/>
          <w:szCs w:val="24"/>
          <w:lang w:val="en-US" w:eastAsia="zh-CN"/>
        </w:rPr>
        <w:t>日至</w:t>
      </w:r>
      <w:r>
        <w:rPr>
          <w:rFonts w:hint="eastAsia" w:ascii="Times New Roman" w:hAnsi="Times New Roman" w:cs="Times New Roman"/>
          <w:sz w:val="24"/>
          <w:szCs w:val="24"/>
          <w:lang w:val="en-US" w:eastAsia="zh-CN"/>
        </w:rPr>
        <w:t>08</w:t>
      </w:r>
      <w:r>
        <w:rPr>
          <w:rFonts w:hint="default" w:ascii="Times New Roman" w:hAnsi="Times New Roman" w:cs="Times New Roman"/>
          <w:sz w:val="24"/>
          <w:szCs w:val="24"/>
          <w:lang w:val="en-US" w:eastAsia="zh-CN"/>
        </w:rPr>
        <w:t>月</w:t>
      </w:r>
      <w:r>
        <w:rPr>
          <w:rFonts w:hint="eastAsia" w:ascii="Times New Roman" w:hAnsi="Times New Roman" w:cs="Times New Roman"/>
          <w:sz w:val="24"/>
          <w:szCs w:val="24"/>
          <w:lang w:val="en-US" w:eastAsia="zh-CN"/>
        </w:rPr>
        <w:t>25</w:t>
      </w:r>
      <w:r>
        <w:rPr>
          <w:rFonts w:hint="default" w:ascii="Times New Roman" w:hAnsi="Times New Roman" w:cs="Times New Roman"/>
          <w:sz w:val="24"/>
          <w:szCs w:val="24"/>
          <w:lang w:val="en-US" w:eastAsia="zh-CN"/>
        </w:rPr>
        <w:t>日对项目污染物排放情况进行了环保验收监测，</w:t>
      </w:r>
      <w:r>
        <w:rPr>
          <w:rFonts w:hint="eastAsia"/>
          <w:snapToGrid w:val="0"/>
          <w:kern w:val="0"/>
          <w:sz w:val="24"/>
          <w:szCs w:val="24"/>
        </w:rPr>
        <w:t>沧州市新华区路捷汽车维修服务中心</w:t>
      </w:r>
      <w:r>
        <w:rPr>
          <w:rFonts w:hint="default" w:ascii="Times New Roman" w:hAnsi="Times New Roman" w:cs="Times New Roman"/>
          <w:sz w:val="24"/>
          <w:szCs w:val="24"/>
          <w:lang w:val="en-US" w:eastAsia="zh-CN"/>
        </w:rPr>
        <w:t>依据监测结果编制了项目环保验收报告，为其</w:t>
      </w:r>
      <w:r>
        <w:rPr>
          <w:rFonts w:hint="eastAsia" w:ascii="Times New Roman" w:hAnsi="Times New Roman" w:cs="Times New Roman"/>
          <w:sz w:val="24"/>
          <w:szCs w:val="24"/>
          <w:lang w:val="en-US" w:eastAsia="zh-CN"/>
        </w:rPr>
        <w:t>阶段</w:t>
      </w:r>
      <w:r>
        <w:rPr>
          <w:rFonts w:hint="default" w:ascii="Times New Roman" w:hAnsi="Times New Roman" w:cs="Times New Roman"/>
          <w:sz w:val="24"/>
          <w:szCs w:val="24"/>
          <w:lang w:val="en-US" w:eastAsia="zh-CN"/>
        </w:rPr>
        <w:t>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footerReference r:id="rId9"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3"/>
        <w:rPr>
          <w:rFonts w:hint="default" w:ascii="Times New Roman" w:hAnsi="Times New Roman" w:eastAsia="宋体" w:cs="Times New Roman"/>
        </w:rPr>
      </w:pPr>
      <w:bookmarkStart w:id="7" w:name="_Toc10653"/>
      <w:bookmarkStart w:id="8" w:name="_Toc23777"/>
      <w:bookmarkStart w:id="9" w:name="_Toc14085"/>
      <w:bookmarkStart w:id="10" w:name="_Toc17755"/>
      <w:r>
        <w:rPr>
          <w:rFonts w:hint="default" w:ascii="Times New Roman" w:hAnsi="Times New Roman" w:eastAsia="宋体" w:cs="Times New Roman"/>
        </w:rPr>
        <w:t>1 验收编制依据</w:t>
      </w:r>
      <w:bookmarkEnd w:id="7"/>
      <w:bookmarkEnd w:id="8"/>
      <w:bookmarkEnd w:id="9"/>
      <w:bookmarkEnd w:id="10"/>
    </w:p>
    <w:p>
      <w:pPr>
        <w:pStyle w:val="4"/>
        <w:rPr>
          <w:rFonts w:hint="default" w:ascii="Times New Roman" w:hAnsi="Times New Roman" w:eastAsia="宋体" w:cs="Times New Roman"/>
        </w:rPr>
      </w:pPr>
      <w:bookmarkStart w:id="11" w:name="_Toc32325"/>
      <w:bookmarkStart w:id="12" w:name="_Toc12399"/>
      <w:bookmarkStart w:id="13" w:name="_Toc30258"/>
      <w:bookmarkStart w:id="14" w:name="_Toc12506"/>
      <w:r>
        <w:rPr>
          <w:rFonts w:hint="default" w:ascii="Times New Roman" w:hAnsi="Times New Roman" w:eastAsia="宋体" w:cs="Times New Roman"/>
        </w:rPr>
        <w:t>1.1 法律、法规</w:t>
      </w:r>
      <w:bookmarkEnd w:id="11"/>
      <w:bookmarkEnd w:id="12"/>
      <w:bookmarkEnd w:id="13"/>
      <w:bookmarkEnd w:id="14"/>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（1）《中华人</w:t>
      </w:r>
      <w:r>
        <w:rPr>
          <w:rFonts w:hint="default" w:ascii="Times New Roman" w:hAnsi="Times New Roman" w:eastAsia="宋体" w:cs="Times New Roman"/>
          <w:color w:val="auto"/>
          <w:sz w:val="24"/>
          <w:szCs w:val="24"/>
        </w:rPr>
        <w:t>民共和国环境保护法》，（2015年1月1日起施行）；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（2）《中华人民共和国环境影响评价法》，（201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（3）《中华人民共和国水污染防治法》（20</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8年</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（4）《中华人民共和国大气污染防治法》，（201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年1</w:t>
      </w:r>
      <w:r>
        <w:rPr>
          <w:rFonts w:hint="default"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26</w:t>
      </w:r>
      <w:r>
        <w:rPr>
          <w:rFonts w:hint="default" w:ascii="Times New Roman" w:hAnsi="Times New Roman" w:eastAsia="宋体" w:cs="Times New Roman"/>
          <w:color w:val="auto"/>
          <w:sz w:val="24"/>
          <w:szCs w:val="24"/>
        </w:rPr>
        <w:t>日施行）；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（5）《中华人民共和国环境噪声污染防治法》，（</w:t>
      </w:r>
      <w:r>
        <w:rPr>
          <w:rFonts w:hint="default" w:ascii="Times New Roman" w:hAnsi="Times New Roman" w:eastAsia="宋体" w:cs="Times New Roman"/>
          <w:color w:val="auto"/>
          <w:sz w:val="24"/>
          <w:szCs w:val="24"/>
          <w:lang w:val="en-US" w:eastAsia="zh-CN"/>
        </w:rPr>
        <w:t>2018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（6）《中华人民共和国固体废物污染环境防治法》，</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6</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（8）《建设项目环境影响评价分类管理名录》（201</w:t>
      </w:r>
      <w:r>
        <w:rPr>
          <w:rFonts w:hint="default"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default" w:ascii="Times New Roman" w:hAnsi="Times New Roman" w:cs="Times New Roman"/>
          <w:color w:val="auto"/>
          <w:sz w:val="24"/>
          <w:szCs w:val="24"/>
          <w:lang w:val="en-US" w:eastAsia="zh-CN"/>
        </w:rPr>
        <w:t>28</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（9）《河北省环境保护条例》，（2005年5月1日起施行）。</w:t>
      </w:r>
    </w:p>
    <w:p>
      <w:pPr>
        <w:pStyle w:val="4"/>
        <w:rPr>
          <w:rFonts w:hint="default" w:ascii="Times New Roman" w:hAnsi="Times New Roman" w:eastAsia="宋体" w:cs="Times New Roman"/>
          <w:color w:val="auto"/>
        </w:rPr>
      </w:pPr>
      <w:bookmarkStart w:id="15" w:name="_Toc11240"/>
      <w:bookmarkStart w:id="16" w:name="_Toc19988"/>
      <w:bookmarkStart w:id="17" w:name="_Toc32564"/>
      <w:bookmarkStart w:id="18" w:name="_Toc17067"/>
      <w:r>
        <w:rPr>
          <w:rFonts w:hint="default" w:ascii="Times New Roman" w:hAnsi="Times New Roman" w:eastAsia="宋体" w:cs="Times New Roman"/>
          <w:color w:val="auto"/>
        </w:rPr>
        <w:t>1.2 验收技术规范</w:t>
      </w:r>
      <w:bookmarkEnd w:id="15"/>
      <w:bookmarkEnd w:id="16"/>
      <w:bookmarkEnd w:id="17"/>
      <w:bookmarkEnd w:id="18"/>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（1）《环境影响评价技术导则  总纲》（HJ 2.1-2016）；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（2）《环境影响评价技术导则  大气环境》（HJ 2.2-20</w:t>
      </w:r>
      <w:r>
        <w:rPr>
          <w:rFonts w:hint="default"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8）；</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（3）《环境影响评价技术导则  地</w:t>
      </w:r>
      <w:r>
        <w:rPr>
          <w:rFonts w:hint="default" w:ascii="Times New Roman" w:hAnsi="Times New Roman" w:cs="Times New Roman"/>
          <w:color w:val="auto"/>
          <w:sz w:val="24"/>
          <w:szCs w:val="24"/>
          <w:lang w:eastAsia="zh-CN"/>
        </w:rPr>
        <w:t>表</w:t>
      </w:r>
      <w:r>
        <w:rPr>
          <w:rFonts w:hint="default" w:ascii="Times New Roman" w:hAnsi="Times New Roman" w:eastAsia="宋体" w:cs="Times New Roman"/>
          <w:color w:val="auto"/>
          <w:sz w:val="24"/>
          <w:szCs w:val="24"/>
        </w:rPr>
        <w:t>水环境》（HJ/T 2.3-</w:t>
      </w:r>
      <w:r>
        <w:rPr>
          <w:rFonts w:hint="default" w:ascii="Times New Roman" w:hAnsi="Times New Roman" w:cs="Times New Roman"/>
          <w:color w:val="auto"/>
          <w:sz w:val="24"/>
          <w:szCs w:val="24"/>
          <w:lang w:val="en-US" w:eastAsia="zh-CN"/>
        </w:rPr>
        <w:t>2018</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（4）《环境影响评价技术导则  地下水环境》（HJ 610-2016）；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（5）《环境影响评价技术导则  声环境》（HJ 2.4-2009）；</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（6）《环境影响评价技术导则  生态影响》（HJ 19-2011）；</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（7）《环境空气质量标准》（GB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rPr>
        <w:t>3095-2012）；</w:t>
      </w:r>
    </w:p>
    <w:p>
      <w:pPr>
        <w:spacing w:line="440" w:lineRule="atLeast"/>
        <w:ind w:firstLine="480" w:firstLineChars="200"/>
        <w:rPr>
          <w:rFonts w:hint="eastAsia"/>
          <w:sz w:val="24"/>
          <w:lang w:eastAsia="zh-CN"/>
        </w:rPr>
      </w:pPr>
      <w:r>
        <w:rPr>
          <w:rFonts w:hint="eastAsia" w:ascii="Times New Roman" w:hAnsi="Times New Roman" w:cs="Times New Roman"/>
          <w:color w:val="auto"/>
          <w:sz w:val="24"/>
          <w:szCs w:val="24"/>
          <w:lang w:eastAsia="zh-CN"/>
        </w:rPr>
        <w:t>（</w:t>
      </w:r>
      <w:r>
        <w:rPr>
          <w:rFonts w:hint="eastAsia" w:ascii="Times New Roman" w:hAnsi="Times New Roman" w:cs="Times New Roman"/>
          <w:color w:val="auto"/>
          <w:sz w:val="24"/>
          <w:szCs w:val="24"/>
          <w:lang w:val="en-US" w:eastAsia="zh-CN"/>
        </w:rPr>
        <w:t>8）</w:t>
      </w:r>
      <w:r>
        <w:rPr>
          <w:sz w:val="24"/>
        </w:rPr>
        <w:t>《环境空气质量 非甲烷总烃限值》（DB13/1577-2012）</w:t>
      </w:r>
      <w:r>
        <w:rPr>
          <w:rFonts w:hint="eastAsia"/>
          <w:sz w:val="24"/>
          <w:lang w:eastAsia="zh-CN"/>
        </w:rPr>
        <w:t>；</w:t>
      </w:r>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eastAsia"/>
          <w:sz w:val="24"/>
          <w:lang w:eastAsia="zh-CN"/>
        </w:rPr>
        <w:t>（</w:t>
      </w:r>
      <w:r>
        <w:rPr>
          <w:rFonts w:hint="eastAsia"/>
          <w:sz w:val="24"/>
          <w:lang w:val="en-US" w:eastAsia="zh-CN"/>
        </w:rPr>
        <w:t>9）</w:t>
      </w:r>
      <w:r>
        <w:rPr>
          <w:sz w:val="24"/>
        </w:rPr>
        <w:t>《环境影响评价技术导则 大气环境》（HJ2.2-2018）</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（10）《地下水质量标准》（GB/T 14848-2017）；</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《声环境质量标准》（GB</w:t>
      </w:r>
      <w:r>
        <w:rPr>
          <w:rFonts w:hint="default"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3096-2008）</w:t>
      </w:r>
      <w:r>
        <w:rPr>
          <w:rFonts w:hint="default" w:ascii="Times New Roman" w:hAnsi="Times New Roman" w:eastAsia="宋体" w:cs="Times New Roman"/>
          <w:color w:val="auto"/>
          <w:sz w:val="24"/>
          <w:szCs w:val="24"/>
          <w:lang w:eastAsia="zh-CN"/>
        </w:rPr>
        <w:t>；</w:t>
      </w:r>
    </w:p>
    <w:p>
      <w:pPr>
        <w:spacing w:line="440" w:lineRule="atLeast"/>
        <w:ind w:left="1199" w:leftChars="228" w:hanging="720" w:hangingChars="300"/>
        <w:rPr>
          <w:rFonts w:hint="default" w:ascii="Times New Roman" w:hAnsi="Times New Roman" w:eastAsia="宋体" w:cs="Times New Roman"/>
          <w:color w:val="auto"/>
          <w:sz w:val="24"/>
          <w:szCs w:val="24"/>
          <w:lang w:eastAsia="zh-CN"/>
        </w:rPr>
      </w:pPr>
      <w:r>
        <w:rPr>
          <w:rFonts w:hint="eastAsia" w:ascii="Times New Roman" w:hAnsi="Times New Roman" w:cs="Times New Roman"/>
          <w:color w:val="auto"/>
          <w:sz w:val="24"/>
          <w:szCs w:val="24"/>
          <w:lang w:eastAsia="zh-CN"/>
        </w:rPr>
        <w:t>（</w:t>
      </w:r>
      <w:r>
        <w:rPr>
          <w:rFonts w:hint="eastAsia" w:ascii="Times New Roman" w:hAnsi="Times New Roman" w:cs="Times New Roman"/>
          <w:color w:val="auto"/>
          <w:sz w:val="24"/>
          <w:szCs w:val="24"/>
          <w:lang w:val="en-US" w:eastAsia="zh-CN"/>
        </w:rPr>
        <w:t>12）</w:t>
      </w:r>
      <w:r>
        <w:rPr>
          <w:kern w:val="0"/>
          <w:sz w:val="24"/>
          <w:lang w:val="zh-CN"/>
        </w:rPr>
        <w:t>《土壤环境质量  建设用地土壤污染风险管控标准（试行）》（GB36600-2018）</w:t>
      </w:r>
      <w:r>
        <w:rPr>
          <w:rFonts w:hint="eastAsia"/>
          <w:kern w:val="0"/>
          <w:sz w:val="24"/>
          <w:lang w:val="zh-CN"/>
        </w:rPr>
        <w:t>；</w:t>
      </w:r>
    </w:p>
    <w:p>
      <w:pPr>
        <w:spacing w:line="440" w:lineRule="atLeast"/>
        <w:ind w:firstLine="480" w:firstLineChars="200"/>
        <w:rPr>
          <w:rFonts w:hint="default" w:ascii="Times New Roman" w:hAnsi="Times New Roman" w:cs="Times New Roman"/>
          <w:sz w:val="24"/>
          <w:szCs w:val="24"/>
          <w:lang w:eastAsia="zh-CN"/>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13</w:t>
      </w:r>
      <w:r>
        <w:rPr>
          <w:rFonts w:hint="eastAsia" w:ascii="Times New Roman" w:hAnsi="Times New Roman" w:cs="Times New Roman"/>
          <w:sz w:val="24"/>
          <w:szCs w:val="24"/>
          <w:lang w:eastAsia="zh-CN"/>
        </w:rPr>
        <w:t>）《大气污染物综合排放标准》（</w:t>
      </w:r>
      <w:r>
        <w:rPr>
          <w:rFonts w:hint="eastAsia" w:ascii="Times New Roman" w:hAnsi="Times New Roman" w:cs="Times New Roman"/>
          <w:sz w:val="24"/>
          <w:szCs w:val="24"/>
          <w:lang w:val="en-US" w:eastAsia="zh-CN"/>
        </w:rPr>
        <w:t>GB 16297-1996</w:t>
      </w:r>
      <w:r>
        <w:rPr>
          <w:rFonts w:hint="eastAsia" w:ascii="Times New Roman" w:hAnsi="Times New Roman"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cs="Times New Roman"/>
          <w:sz w:val="24"/>
          <w:szCs w:val="24"/>
          <w:lang w:eastAsia="zh-CN"/>
        </w:rPr>
        <w:t>（</w:t>
      </w:r>
      <w:r>
        <w:rPr>
          <w:rFonts w:hint="eastAsia" w:ascii="Times New Roman" w:hAnsi="Times New Roman" w:cs="Times New Roman"/>
          <w:sz w:val="24"/>
          <w:szCs w:val="24"/>
          <w:lang w:val="en-US" w:eastAsia="zh-CN"/>
        </w:rPr>
        <w:t>14</w:t>
      </w:r>
      <w:r>
        <w:rPr>
          <w:rFonts w:hint="default" w:ascii="Times New Roman" w:hAnsi="Times New Roman" w:cs="Times New Roman"/>
          <w:sz w:val="24"/>
          <w:szCs w:val="24"/>
          <w:lang w:val="en-US" w:eastAsia="zh-CN"/>
        </w:rPr>
        <w:t>）</w:t>
      </w:r>
      <w:r>
        <w:rPr>
          <w:rFonts w:hint="default" w:ascii="Times New Roman" w:hAnsi="Times New Roman" w:eastAsia="宋体" w:cs="Times New Roman"/>
          <w:sz w:val="24"/>
          <w:szCs w:val="24"/>
          <w:lang w:eastAsia="zh-CN"/>
        </w:rPr>
        <w:t>《工业企业挥发性有机物排放控制标准》（DB</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zh-CN"/>
        </w:rPr>
        <w:t>13/2322-2016）</w:t>
      </w:r>
      <w:r>
        <w:rPr>
          <w:rFonts w:hint="default" w:ascii="Times New Roman" w:hAnsi="Times New Roman" w:cs="Times New Roman"/>
          <w:sz w:val="24"/>
          <w:szCs w:val="24"/>
          <w:lang w:eastAsia="zh-CN"/>
        </w:rPr>
        <w:t>；</w:t>
      </w:r>
    </w:p>
    <w:p>
      <w:pPr>
        <w:spacing w:line="440" w:lineRule="atLeast"/>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15</w:t>
      </w:r>
      <w:r>
        <w:rPr>
          <w:rFonts w:hint="default" w:ascii="Times New Roman" w:hAnsi="Times New Roman" w:cs="Times New Roman"/>
          <w:sz w:val="24"/>
          <w:szCs w:val="24"/>
          <w:lang w:val="en-US" w:eastAsia="zh-CN"/>
        </w:rPr>
        <w:t>）《挥发性有机物无组织排放控制标准》（GB 37822-2019）；</w:t>
      </w:r>
    </w:p>
    <w:p>
      <w:pPr>
        <w:spacing w:line="440" w:lineRule="atLeast"/>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16</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污水综合排放标准</w:t>
      </w:r>
      <w:r>
        <w:rPr>
          <w:rFonts w:hint="default" w:ascii="Times New Roman" w:hAnsi="Times New Roman" w:cs="Times New Roman"/>
          <w:sz w:val="24"/>
          <w:szCs w:val="24"/>
          <w:lang w:val="en-US" w:eastAsia="zh-CN"/>
        </w:rPr>
        <w:t xml:space="preserve">》（GB </w:t>
      </w:r>
      <w:r>
        <w:rPr>
          <w:rFonts w:hint="eastAsia" w:ascii="Times New Roman" w:hAnsi="Times New Roman" w:cs="Times New Roman"/>
          <w:sz w:val="24"/>
          <w:szCs w:val="24"/>
          <w:lang w:val="en-US" w:eastAsia="zh-CN"/>
        </w:rPr>
        <w:t>8978-1996</w:t>
      </w:r>
      <w:r>
        <w:rPr>
          <w:rFonts w:hint="default" w:ascii="Times New Roman" w:hAnsi="Times New Roman" w:cs="Times New Roman"/>
          <w:sz w:val="24"/>
          <w:szCs w:val="24"/>
          <w:lang w:val="en-US"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eastAsia" w:ascii="Times New Roman" w:hAnsi="Times New Roman" w:cs="Times New Roman"/>
          <w:sz w:val="24"/>
          <w:szCs w:val="24"/>
          <w:lang w:val="en-US" w:eastAsia="zh-CN"/>
        </w:rPr>
        <w:t>17</w:t>
      </w:r>
      <w:r>
        <w:rPr>
          <w:rFonts w:hint="default" w:ascii="Times New Roman" w:hAnsi="Times New Roman" w:eastAsia="宋体" w:cs="Times New Roman"/>
          <w:sz w:val="24"/>
          <w:szCs w:val="24"/>
          <w:lang w:eastAsia="zh-CN"/>
        </w:rPr>
        <w:t>）《工业企业厂界环境噪声排放标准》（GB</w:t>
      </w:r>
      <w:r>
        <w:rPr>
          <w:rFonts w:hint="default"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lang w:eastAsia="zh-CN"/>
        </w:rPr>
        <w:t>12348-2008）；</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18</w:t>
      </w:r>
      <w:r>
        <w:rPr>
          <w:rFonts w:hint="default" w:ascii="Times New Roman" w:hAnsi="Times New Roman" w:eastAsia="宋体" w:cs="Times New Roman"/>
          <w:sz w:val="24"/>
          <w:szCs w:val="24"/>
        </w:rPr>
        <w:t>）《一般工业固体废物贮存、处置场污染控制标准》（GB18599-2001）及</w:t>
      </w:r>
      <w:r>
        <w:rPr>
          <w:rFonts w:hint="eastAsia" w:ascii="Times New Roman" w:hAnsi="Times New Roman" w:cs="Times New Roman"/>
          <w:sz w:val="24"/>
          <w:szCs w:val="24"/>
          <w:lang w:eastAsia="zh-CN"/>
        </w:rPr>
        <w:t>其修改单的规定</w:t>
      </w:r>
      <w:r>
        <w:rPr>
          <w:rFonts w:hint="default" w:ascii="Times New Roman" w:hAnsi="Times New Roman" w:eastAsia="宋体" w:cs="Times New Roman"/>
          <w:sz w:val="24"/>
          <w:szCs w:val="24"/>
          <w:lang w:val="en-US" w:eastAsia="zh-CN"/>
        </w:rPr>
        <w:t>；</w:t>
      </w:r>
    </w:p>
    <w:p>
      <w:pPr>
        <w:spacing w:line="440" w:lineRule="atLeast"/>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19</w:t>
      </w:r>
      <w:r>
        <w:rPr>
          <w:rFonts w:hint="eastAsia" w:ascii="Times New Roman" w:hAnsi="Times New Roman" w:cs="Times New Roman"/>
          <w:sz w:val="24"/>
          <w:szCs w:val="24"/>
          <w:lang w:eastAsia="zh-CN"/>
        </w:rPr>
        <w:t>）《危险废物贮存污染控制标准》（</w:t>
      </w:r>
      <w:r>
        <w:rPr>
          <w:rFonts w:hint="eastAsia" w:ascii="Times New Roman" w:hAnsi="Times New Roman" w:cs="Times New Roman"/>
          <w:sz w:val="24"/>
          <w:szCs w:val="24"/>
          <w:lang w:val="en-US" w:eastAsia="zh-CN"/>
        </w:rPr>
        <w:t>GB 18597-2001</w:t>
      </w:r>
      <w:r>
        <w:rPr>
          <w:rFonts w:hint="eastAsia" w:ascii="Times New Roman" w:hAnsi="Times New Roman" w:cs="Times New Roman"/>
          <w:sz w:val="24"/>
          <w:szCs w:val="24"/>
          <w:lang w:eastAsia="zh-CN"/>
        </w:rPr>
        <w:t>）及修改单；</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lang w:eastAsia="zh-CN"/>
        </w:rPr>
        <w:t>（</w:t>
      </w:r>
      <w:r>
        <w:rPr>
          <w:rFonts w:hint="eastAsia" w:ascii="Times New Roman" w:hAnsi="Times New Roman" w:cs="Times New Roman"/>
          <w:sz w:val="24"/>
          <w:szCs w:val="24"/>
          <w:lang w:val="en-US" w:eastAsia="zh-CN"/>
        </w:rPr>
        <w:t>20</w:t>
      </w:r>
      <w:r>
        <w:rPr>
          <w:rFonts w:hint="default" w:ascii="Times New Roman" w:hAnsi="Times New Roman" w:eastAsia="宋体" w:cs="Times New Roman"/>
          <w:sz w:val="24"/>
          <w:szCs w:val="24"/>
          <w:lang w:eastAsia="zh-CN"/>
        </w:rPr>
        <w:t>）《关于规</w:t>
      </w:r>
      <w:r>
        <w:rPr>
          <w:rFonts w:hint="default" w:ascii="Times New Roman" w:hAnsi="Times New Roman" w:eastAsia="宋体" w:cs="Times New Roman"/>
          <w:sz w:val="24"/>
          <w:szCs w:val="24"/>
        </w:rPr>
        <w:t>范建设单位自主开展建设项目竣工环</w:t>
      </w:r>
      <w:r>
        <w:rPr>
          <w:rFonts w:hint="default" w:ascii="Times New Roman" w:hAnsi="Times New Roman" w:eastAsia="宋体" w:cs="Times New Roman"/>
          <w:kern w:val="0"/>
          <w:sz w:val="24"/>
          <w:szCs w:val="24"/>
        </w:rPr>
        <w:t>境保护验收的通知》</w:t>
      </w:r>
      <w:r>
        <w:rPr>
          <w:rFonts w:hint="default" w:ascii="Times New Roman" w:hAnsi="Times New Roman" w:eastAsia="宋体" w:cs="Times New Roman"/>
          <w:sz w:val="24"/>
          <w:szCs w:val="24"/>
        </w:rPr>
        <w:t>（环境保护部）</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2017年11月22日</w:t>
      </w:r>
      <w:r>
        <w:rPr>
          <w:rFonts w:hint="default" w:ascii="Times New Roman" w:hAnsi="Times New Roman" w:eastAsia="宋体" w:cs="Times New Roman"/>
          <w:sz w:val="24"/>
          <w:szCs w:val="24"/>
        </w:rPr>
        <w:t>起施行</w:t>
      </w:r>
      <w:r>
        <w:rPr>
          <w:rFonts w:hint="default" w:ascii="Times New Roman" w:hAnsi="Times New Roman" w:eastAsia="宋体" w:cs="Times New Roman"/>
          <w:sz w:val="24"/>
          <w:szCs w:val="24"/>
          <w:lang w:eastAsia="zh-CN"/>
        </w:rPr>
        <w:t>）；</w:t>
      </w:r>
    </w:p>
    <w:p>
      <w:pPr>
        <w:spacing w:line="48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21</w:t>
      </w:r>
      <w:r>
        <w:rPr>
          <w:rFonts w:hint="default" w:ascii="Times New Roman" w:hAnsi="Times New Roman" w:eastAsia="宋体" w:cs="Times New Roman"/>
          <w:sz w:val="24"/>
          <w:szCs w:val="24"/>
        </w:rPr>
        <w:t>）《建设项目环境影响评价文件审批及建设单位自主开展环境保护设施验收工作指引（试行）》（河北省环境保护厅）</w:t>
      </w:r>
      <w:r>
        <w:rPr>
          <w:rFonts w:hint="default" w:ascii="Times New Roman" w:hAnsi="Times New Roman" w:eastAsia="宋体" w:cs="Times New Roman"/>
          <w:sz w:val="24"/>
          <w:szCs w:val="24"/>
          <w:lang w:eastAsia="zh-CN"/>
        </w:rPr>
        <w:t>，冀环办字函</w:t>
      </w:r>
      <w:r>
        <w:rPr>
          <w:rFonts w:hint="default" w:ascii="Times New Roman" w:hAnsi="Times New Roman" w:eastAsia="宋体" w:cs="Times New Roman"/>
          <w:sz w:val="24"/>
          <w:szCs w:val="24"/>
          <w:lang w:val="en-US" w:eastAsia="zh-CN"/>
        </w:rPr>
        <w:t>[2017]727号，2017.11.23</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22</w:t>
      </w:r>
      <w:r>
        <w:rPr>
          <w:rFonts w:hint="default" w:ascii="Times New Roman" w:hAnsi="Times New Roman" w:eastAsia="宋体" w:cs="Times New Roman"/>
          <w:sz w:val="24"/>
          <w:szCs w:val="24"/>
        </w:rPr>
        <w:t>）《建设项目竣工环境保护验收技术指南 污染影响类》</w:t>
      </w:r>
      <w:r>
        <w:rPr>
          <w:rFonts w:hint="default" w:ascii="Times New Roman" w:hAnsi="Times New Roman" w:eastAsia="宋体" w:cs="Times New Roman"/>
          <w:sz w:val="24"/>
          <w:szCs w:val="24"/>
          <w:lang w:eastAsia="zh-CN"/>
        </w:rPr>
        <w:t>（生态</w:t>
      </w:r>
      <w:r>
        <w:rPr>
          <w:rFonts w:hint="default" w:ascii="Times New Roman" w:hAnsi="Times New Roman" w:cs="Times New Roman"/>
          <w:sz w:val="24"/>
          <w:szCs w:val="24"/>
          <w:lang w:eastAsia="zh-CN"/>
        </w:rPr>
        <w:t>环境</w:t>
      </w:r>
      <w:r>
        <w:rPr>
          <w:rFonts w:hint="default" w:ascii="Times New Roman" w:hAnsi="Times New Roman" w:eastAsia="宋体" w:cs="Times New Roman"/>
          <w:sz w:val="24"/>
          <w:szCs w:val="24"/>
          <w:lang w:eastAsia="zh-CN"/>
        </w:rPr>
        <w:t>部），公告</w:t>
      </w:r>
      <w:r>
        <w:rPr>
          <w:rFonts w:hint="default" w:ascii="Times New Roman" w:hAnsi="Times New Roman" w:eastAsia="宋体" w:cs="Times New Roman"/>
          <w:sz w:val="24"/>
          <w:szCs w:val="24"/>
          <w:lang w:val="en-US" w:eastAsia="zh-CN"/>
        </w:rPr>
        <w:t>2018年第9号</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2018.05.16。</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9" w:name="_Toc25083"/>
      <w:bookmarkStart w:id="20" w:name="_Toc25756"/>
      <w:bookmarkStart w:id="21" w:name="_Toc31818"/>
      <w:bookmarkStart w:id="22" w:name="_Toc8930"/>
      <w:r>
        <w:rPr>
          <w:rFonts w:hint="default" w:ascii="Times New Roman" w:hAnsi="Times New Roman" w:eastAsia="宋体" w:cs="Times New Roman"/>
        </w:rPr>
        <w:t>1.3 工程技术文件及批复文件</w:t>
      </w:r>
      <w:bookmarkEnd w:id="19"/>
      <w:bookmarkEnd w:id="20"/>
      <w:bookmarkEnd w:id="21"/>
      <w:bookmarkEnd w:id="2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highlight w:val="none"/>
        </w:rPr>
        <w:t>（1）</w:t>
      </w:r>
      <w:r>
        <w:rPr>
          <w:rFonts w:hint="eastAsia" w:ascii="Times New Roman" w:hAnsi="Times New Roman" w:cs="Times New Roman"/>
          <w:sz w:val="24"/>
          <w:szCs w:val="24"/>
          <w:highlight w:val="none"/>
          <w:lang w:val="en-US" w:eastAsia="zh-CN"/>
        </w:rPr>
        <w:t>沧州硕辉环保科技有限公司，《</w:t>
      </w:r>
      <w:r>
        <w:rPr>
          <w:rFonts w:hint="eastAsia"/>
          <w:snapToGrid w:val="0"/>
          <w:kern w:val="0"/>
          <w:sz w:val="24"/>
          <w:szCs w:val="24"/>
          <w:highlight w:val="none"/>
        </w:rPr>
        <w:t>沧</w:t>
      </w:r>
      <w:r>
        <w:rPr>
          <w:rFonts w:hint="eastAsia"/>
          <w:snapToGrid w:val="0"/>
          <w:kern w:val="0"/>
          <w:sz w:val="24"/>
          <w:szCs w:val="24"/>
        </w:rPr>
        <w:t>州市新华区路捷汽车维修服务中心汽车维修项目</w:t>
      </w:r>
      <w:r>
        <w:rPr>
          <w:rFonts w:hint="eastAsia" w:ascii="Times New Roman" w:hAnsi="Times New Roman" w:cs="Times New Roman"/>
          <w:sz w:val="24"/>
          <w:szCs w:val="24"/>
          <w:lang w:val="en-US" w:eastAsia="zh-CN"/>
        </w:rPr>
        <w:t>环境影响报告表》，2020年07月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r>
        <w:rPr>
          <w:rFonts w:hint="eastAsia" w:ascii="Times New Roman" w:hAnsi="Times New Roman" w:cs="Times New Roman"/>
          <w:color w:val="auto"/>
          <w:kern w:val="0"/>
          <w:sz w:val="24"/>
          <w:szCs w:val="24"/>
          <w:lang w:val="en-US" w:eastAsia="zh-CN"/>
        </w:rPr>
        <w:t>沧州市生态环境局新华区分局</w:t>
      </w:r>
      <w:r>
        <w:rPr>
          <w:rFonts w:hint="default" w:ascii="Times New Roman" w:hAnsi="Times New Roman" w:eastAsia="宋体" w:cs="Times New Roman"/>
          <w:color w:val="auto"/>
          <w:sz w:val="24"/>
          <w:szCs w:val="24"/>
          <w:lang w:eastAsia="zh-CN"/>
        </w:rPr>
        <w:t>，</w:t>
      </w:r>
      <w:r>
        <w:rPr>
          <w:rFonts w:hint="eastAsia" w:ascii="Times New Roman" w:hAnsi="Times New Roman" w:cs="Times New Roman"/>
          <w:color w:val="auto"/>
          <w:sz w:val="24"/>
          <w:szCs w:val="24"/>
          <w:lang w:val="en-US" w:eastAsia="zh-CN"/>
        </w:rPr>
        <w:t>沧新环表[2020]11号</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关于《</w:t>
      </w:r>
      <w:r>
        <w:rPr>
          <w:rFonts w:hint="eastAsia"/>
          <w:snapToGrid w:val="0"/>
          <w:kern w:val="0"/>
          <w:sz w:val="24"/>
          <w:szCs w:val="24"/>
        </w:rPr>
        <w:t>沧州市新华区路捷汽车维修服务中心汽车维修项目</w:t>
      </w:r>
      <w:r>
        <w:rPr>
          <w:rFonts w:hint="eastAsia" w:ascii="Times New Roman" w:hAnsi="Times New Roman" w:cs="Times New Roman"/>
          <w:sz w:val="24"/>
          <w:szCs w:val="24"/>
          <w:lang w:val="en-US" w:eastAsia="zh-CN"/>
        </w:rPr>
        <w:t>环境影响报告表</w:t>
      </w:r>
      <w:r>
        <w:rPr>
          <w:rFonts w:hint="default" w:ascii="Times New Roman" w:hAnsi="Times New Roman" w:eastAsia="宋体" w:cs="Times New Roman"/>
          <w:color w:val="auto"/>
          <w:sz w:val="24"/>
          <w:szCs w:val="24"/>
        </w:rPr>
        <w:t>》的审批意见，</w:t>
      </w:r>
      <w:r>
        <w:rPr>
          <w:rFonts w:hint="eastAsia" w:ascii="Times New Roman" w:hAnsi="Times New Roman" w:cs="Times New Roman"/>
          <w:color w:val="auto"/>
          <w:sz w:val="24"/>
          <w:szCs w:val="24"/>
          <w:lang w:val="en-US" w:eastAsia="zh-CN"/>
        </w:rPr>
        <w:t>2020年08月05日</w:t>
      </w:r>
      <w:r>
        <w:rPr>
          <w:rFonts w:hint="default" w:ascii="Times New Roman" w:hAnsi="Times New Roman" w:eastAsia="宋体" w:cs="Times New Roman"/>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rPr>
          <w:rFonts w:hint="default" w:ascii="Times New Roman" w:hAnsi="Times New Roman" w:eastAsia="宋体" w:cs="Times New Roman"/>
        </w:rPr>
      </w:pPr>
      <w:bookmarkStart w:id="23" w:name="_Toc6874"/>
      <w:bookmarkStart w:id="24" w:name="_Toc5367"/>
      <w:bookmarkStart w:id="25" w:name="_Toc26991"/>
      <w:bookmarkStart w:id="26" w:name="_Toc20655"/>
      <w:r>
        <w:rPr>
          <w:rFonts w:hint="default" w:ascii="Times New Roman" w:hAnsi="Times New Roman" w:eastAsia="宋体" w:cs="Times New Roman"/>
        </w:rPr>
        <w:t>2 工程概况</w:t>
      </w:r>
      <w:bookmarkEnd w:id="23"/>
      <w:bookmarkEnd w:id="24"/>
      <w:bookmarkEnd w:id="25"/>
      <w:bookmarkEnd w:id="26"/>
    </w:p>
    <w:p>
      <w:pPr>
        <w:pStyle w:val="4"/>
        <w:rPr>
          <w:rFonts w:hint="default" w:ascii="Times New Roman" w:hAnsi="Times New Roman" w:eastAsia="宋体" w:cs="Times New Roman"/>
        </w:rPr>
      </w:pPr>
      <w:bookmarkStart w:id="27" w:name="_Toc29334"/>
      <w:bookmarkStart w:id="28" w:name="_Toc22753"/>
      <w:bookmarkStart w:id="29" w:name="_Toc7259"/>
      <w:bookmarkStart w:id="30" w:name="_Toc11367"/>
      <w:r>
        <w:rPr>
          <w:rFonts w:hint="default" w:ascii="Times New Roman" w:hAnsi="Times New Roman" w:eastAsia="宋体" w:cs="Times New Roman"/>
        </w:rPr>
        <w:t>2.1 项目基本情况</w:t>
      </w:r>
      <w:bookmarkEnd w:id="27"/>
      <w:bookmarkEnd w:id="28"/>
      <w:bookmarkEnd w:id="29"/>
      <w:bookmarkEnd w:id="30"/>
    </w:p>
    <w:p>
      <w:pPr>
        <w:pStyle w:val="5"/>
        <w:rPr>
          <w:rFonts w:hint="default" w:ascii="Times New Roman" w:hAnsi="Times New Roman" w:eastAsia="宋体" w:cs="Times New Roman"/>
        </w:rPr>
      </w:pPr>
      <w:bookmarkStart w:id="31" w:name="_Toc19257"/>
      <w:bookmarkStart w:id="32" w:name="_Toc1249"/>
      <w:bookmarkStart w:id="33" w:name="_Toc496979000"/>
      <w:bookmarkStart w:id="34" w:name="_Toc1800"/>
      <w:bookmarkStart w:id="35" w:name="_Toc25674"/>
      <w:bookmarkStart w:id="36" w:name="_Toc497001436"/>
      <w:bookmarkStart w:id="37" w:name="_Hlk496952384"/>
      <w:r>
        <w:rPr>
          <w:rFonts w:hint="default" w:ascii="Times New Roman" w:hAnsi="Times New Roman" w:eastAsia="宋体" w:cs="Times New Roman"/>
        </w:rPr>
        <w:t>2.1.1 基本情况</w:t>
      </w:r>
      <w:bookmarkEnd w:id="31"/>
      <w:bookmarkEnd w:id="32"/>
      <w:bookmarkEnd w:id="33"/>
      <w:bookmarkEnd w:id="34"/>
      <w:bookmarkEnd w:id="35"/>
      <w:bookmarkEnd w:id="36"/>
    </w:p>
    <w:bookmarkEnd w:id="37"/>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  项目基本情况</w:t>
      </w:r>
    </w:p>
    <w:tbl>
      <w:tblPr>
        <w:tblStyle w:val="22"/>
        <w:tblW w:w="87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1"/>
        <w:gridCol w:w="1782"/>
        <w:gridCol w:w="552"/>
        <w:gridCol w:w="941"/>
        <w:gridCol w:w="732"/>
        <w:gridCol w:w="717"/>
        <w:gridCol w:w="786"/>
        <w:gridCol w:w="16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项目名称</w:t>
            </w:r>
          </w:p>
        </w:tc>
        <w:tc>
          <w:tcPr>
            <w:tcW w:w="7116" w:type="dxa"/>
            <w:gridSpan w:val="7"/>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eastAsiaTheme="minorEastAsia"/>
                <w:kern w:val="2"/>
                <w:sz w:val="24"/>
                <w:szCs w:val="24"/>
                <w:lang w:val="en-US" w:eastAsia="zh-CN" w:bidi="ar-SA"/>
              </w:rPr>
            </w:pPr>
            <w:r>
              <w:rPr>
                <w:rFonts w:hint="eastAsia"/>
                <w:snapToGrid w:val="0"/>
                <w:kern w:val="0"/>
                <w:sz w:val="24"/>
                <w:szCs w:val="24"/>
              </w:rPr>
              <w:t>沧州市新华区路捷汽车维修服务中心汽车维修项目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建设单位</w:t>
            </w:r>
          </w:p>
        </w:tc>
        <w:tc>
          <w:tcPr>
            <w:tcW w:w="7116" w:type="dxa"/>
            <w:gridSpan w:val="7"/>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eastAsiaTheme="minorEastAsia"/>
                <w:kern w:val="2"/>
                <w:sz w:val="24"/>
                <w:szCs w:val="24"/>
                <w:lang w:val="en-US" w:eastAsia="zh-CN" w:bidi="ar-SA"/>
              </w:rPr>
            </w:pPr>
            <w:r>
              <w:rPr>
                <w:rFonts w:hint="eastAsia"/>
                <w:snapToGrid w:val="0"/>
                <w:kern w:val="0"/>
                <w:sz w:val="24"/>
                <w:szCs w:val="24"/>
              </w:rPr>
              <w:t>沧州市新华区路捷汽车维修服务中心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法人代表</w:t>
            </w:r>
          </w:p>
        </w:tc>
        <w:tc>
          <w:tcPr>
            <w:tcW w:w="1782"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eastAsia" w:ascii="Times New Roman" w:hAnsi="Times New Roman" w:eastAsia="宋体" w:cs="Times New Roman"/>
                <w:sz w:val="24"/>
                <w:szCs w:val="24"/>
                <w:lang w:eastAsia="zh-CN"/>
              </w:rPr>
            </w:pPr>
            <w:r>
              <w:rPr>
                <w:rFonts w:hint="eastAsia"/>
                <w:sz w:val="24"/>
                <w:szCs w:val="24"/>
              </w:rPr>
              <w:t>董强</w:t>
            </w:r>
          </w:p>
        </w:tc>
        <w:tc>
          <w:tcPr>
            <w:tcW w:w="1493"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联系人</w:t>
            </w:r>
          </w:p>
        </w:tc>
        <w:tc>
          <w:tcPr>
            <w:tcW w:w="3841" w:type="dxa"/>
            <w:gridSpan w:val="4"/>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eastAsia="zh-CN"/>
              </w:rPr>
            </w:pPr>
            <w:r>
              <w:rPr>
                <w:rFonts w:hint="eastAsia" w:cs="Times New Roman"/>
                <w:sz w:val="24"/>
                <w:szCs w:val="24"/>
                <w:lang w:val="en-US" w:eastAsia="zh-CN"/>
              </w:rPr>
              <w:t>董金燕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通信地址</w:t>
            </w:r>
          </w:p>
        </w:tc>
        <w:tc>
          <w:tcPr>
            <w:tcW w:w="7116" w:type="dxa"/>
            <w:gridSpan w:val="7"/>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eastAsia" w:ascii="Times New Roman" w:hAnsi="Times New Roman" w:eastAsia="宋体" w:cs="Times New Roman"/>
                <w:sz w:val="24"/>
                <w:szCs w:val="24"/>
                <w:lang w:eastAsia="zh-CN"/>
              </w:rPr>
            </w:pPr>
            <w:r>
              <w:rPr>
                <w:rFonts w:hint="eastAsia"/>
                <w:sz w:val="24"/>
                <w:szCs w:val="24"/>
              </w:rPr>
              <w:t>河北省</w:t>
            </w:r>
            <w:bookmarkStart w:id="38" w:name="_Hlk47001019"/>
            <w:r>
              <w:rPr>
                <w:rFonts w:hint="eastAsia"/>
                <w:sz w:val="24"/>
                <w:szCs w:val="24"/>
              </w:rPr>
              <w:t>沧州市新华区3</w:t>
            </w:r>
            <w:r>
              <w:rPr>
                <w:rFonts w:hint="default"/>
                <w:sz w:val="24"/>
                <w:szCs w:val="24"/>
              </w:rPr>
              <w:t>07</w:t>
            </w:r>
            <w:r>
              <w:rPr>
                <w:rFonts w:hint="eastAsia"/>
                <w:sz w:val="24"/>
                <w:szCs w:val="24"/>
              </w:rPr>
              <w:t>国道与清池大道交汇处北1</w:t>
            </w:r>
            <w:r>
              <w:rPr>
                <w:rFonts w:hint="default"/>
                <w:sz w:val="24"/>
                <w:szCs w:val="24"/>
              </w:rPr>
              <w:t>00</w:t>
            </w:r>
            <w:r>
              <w:rPr>
                <w:rFonts w:hint="eastAsia"/>
                <w:sz w:val="24"/>
                <w:szCs w:val="24"/>
              </w:rPr>
              <w:t>米路东侧</w:t>
            </w:r>
            <w:bookmarkEnd w:id="3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联系电话</w:t>
            </w:r>
          </w:p>
        </w:tc>
        <w:tc>
          <w:tcPr>
            <w:tcW w:w="1782"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15369782561</w:t>
            </w:r>
          </w:p>
        </w:tc>
        <w:tc>
          <w:tcPr>
            <w:tcW w:w="1493"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邮编</w:t>
            </w:r>
          </w:p>
        </w:tc>
        <w:tc>
          <w:tcPr>
            <w:tcW w:w="3841" w:type="dxa"/>
            <w:gridSpan w:val="4"/>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061000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项目性质</w:t>
            </w:r>
          </w:p>
        </w:tc>
        <w:tc>
          <w:tcPr>
            <w:tcW w:w="1782"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eastAsia="zh-CN"/>
              </w:rPr>
            </w:pPr>
            <w:r>
              <w:rPr>
                <w:rFonts w:hint="eastAsia" w:ascii="Times New Roman" w:hAnsi="Times New Roman" w:cs="Times New Roman"/>
                <w:sz w:val="24"/>
                <w:szCs w:val="24"/>
                <w:lang w:eastAsia="zh-CN"/>
              </w:rPr>
              <w:t>新建</w:t>
            </w:r>
          </w:p>
        </w:tc>
        <w:tc>
          <w:tcPr>
            <w:tcW w:w="1493"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行业类别</w:t>
            </w:r>
          </w:p>
        </w:tc>
        <w:tc>
          <w:tcPr>
            <w:tcW w:w="3841" w:type="dxa"/>
            <w:gridSpan w:val="4"/>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4"/>
                <w:szCs w:val="24"/>
                <w:lang w:val="en-US" w:eastAsia="zh-CN"/>
              </w:rPr>
            </w:pPr>
            <w:r>
              <w:rPr>
                <w:rFonts w:hint="default"/>
                <w:snapToGrid w:val="0"/>
                <w:kern w:val="0"/>
                <w:sz w:val="24"/>
                <w:szCs w:val="24"/>
              </w:rPr>
              <w:t>08111汽车修理与维护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总投资（万元）</w:t>
            </w:r>
          </w:p>
        </w:tc>
        <w:tc>
          <w:tcPr>
            <w:tcW w:w="1782"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120</w:t>
            </w:r>
          </w:p>
        </w:tc>
        <w:tc>
          <w:tcPr>
            <w:tcW w:w="1493"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环保投资</w:t>
            </w:r>
          </w:p>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（万元）</w:t>
            </w:r>
          </w:p>
        </w:tc>
        <w:tc>
          <w:tcPr>
            <w:tcW w:w="732"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28</w:t>
            </w:r>
          </w:p>
        </w:tc>
        <w:tc>
          <w:tcPr>
            <w:tcW w:w="1503"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环保投资占总投资比列（%）</w:t>
            </w:r>
          </w:p>
        </w:tc>
        <w:tc>
          <w:tcPr>
            <w:tcW w:w="1606"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rPr>
            </w:pPr>
            <w:r>
              <w:rPr>
                <w:rFonts w:hint="default" w:ascii="Times New Roman" w:hAnsi="Times New Roman" w:cs="Times New Roman"/>
                <w:sz w:val="24"/>
                <w:szCs w:val="24"/>
              </w:rPr>
              <w:t>建设地点</w:t>
            </w:r>
          </w:p>
        </w:tc>
        <w:tc>
          <w:tcPr>
            <w:tcW w:w="7116" w:type="dxa"/>
            <w:gridSpan w:val="7"/>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eastAsia" w:ascii="Times New Roman" w:hAnsi="Times New Roman" w:eastAsia="宋体" w:cs="Times New Roman"/>
                <w:sz w:val="24"/>
                <w:szCs w:val="24"/>
                <w:lang w:eastAsia="zh-CN"/>
              </w:rPr>
            </w:pPr>
            <w:r>
              <w:rPr>
                <w:rFonts w:hint="eastAsia"/>
                <w:sz w:val="24"/>
                <w:szCs w:val="24"/>
              </w:rPr>
              <w:t>河北省沧州市新华区3</w:t>
            </w:r>
            <w:r>
              <w:rPr>
                <w:rFonts w:hint="default"/>
                <w:sz w:val="24"/>
                <w:szCs w:val="24"/>
              </w:rPr>
              <w:t>07</w:t>
            </w:r>
            <w:r>
              <w:rPr>
                <w:rFonts w:hint="eastAsia"/>
                <w:sz w:val="24"/>
                <w:szCs w:val="24"/>
              </w:rPr>
              <w:t>国道与清池大道交汇处北1</w:t>
            </w:r>
            <w:r>
              <w:rPr>
                <w:rFonts w:hint="default"/>
                <w:sz w:val="24"/>
                <w:szCs w:val="24"/>
              </w:rPr>
              <w:t>00</w:t>
            </w:r>
            <w:r>
              <w:rPr>
                <w:rFonts w:hint="eastAsia"/>
                <w:sz w:val="24"/>
                <w:szCs w:val="24"/>
              </w:rPr>
              <w:t>米路东侧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671" w:type="dxa"/>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rPr>
              <w:t>立项审批部门</w:t>
            </w:r>
          </w:p>
        </w:tc>
        <w:tc>
          <w:tcPr>
            <w:tcW w:w="2334"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w:t>
            </w:r>
          </w:p>
        </w:tc>
        <w:tc>
          <w:tcPr>
            <w:tcW w:w="2390" w:type="dxa"/>
            <w:gridSpan w:val="3"/>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rPr>
              <w:t>批准文号</w:t>
            </w:r>
          </w:p>
        </w:tc>
        <w:tc>
          <w:tcPr>
            <w:tcW w:w="2392" w:type="dxa"/>
            <w:gridSpan w:val="2"/>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w:t>
            </w:r>
          </w:p>
        </w:tc>
      </w:tr>
    </w:tbl>
    <w:p>
      <w:pPr>
        <w:pStyle w:val="5"/>
        <w:rPr>
          <w:rFonts w:hint="default" w:ascii="Times New Roman" w:hAnsi="Times New Roman" w:eastAsia="宋体" w:cs="Times New Roman"/>
        </w:rPr>
      </w:pPr>
      <w:bookmarkStart w:id="39" w:name="_Toc496979001"/>
      <w:bookmarkStart w:id="40" w:name="_Toc5505"/>
      <w:bookmarkStart w:id="41" w:name="_Toc20144"/>
      <w:bookmarkStart w:id="42" w:name="_Toc17116"/>
      <w:bookmarkStart w:id="43" w:name="_Toc497001437"/>
      <w:bookmarkStart w:id="44" w:name="_Toc19738"/>
      <w:r>
        <w:rPr>
          <w:rFonts w:hint="default" w:ascii="Times New Roman" w:hAnsi="Times New Roman" w:eastAsia="宋体" w:cs="Times New Roman"/>
        </w:rPr>
        <w:t>2.1.2 地理位置及周边情况</w:t>
      </w:r>
      <w:bookmarkEnd w:id="39"/>
      <w:bookmarkEnd w:id="40"/>
      <w:bookmarkEnd w:id="41"/>
      <w:bookmarkEnd w:id="42"/>
      <w:bookmarkEnd w:id="43"/>
      <w:bookmarkEnd w:id="44"/>
    </w:p>
    <w:p>
      <w:pPr>
        <w:adjustRightInd w:val="0"/>
        <w:snapToGrid w:val="0"/>
        <w:spacing w:line="480" w:lineRule="atLeast"/>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项目</w:t>
      </w:r>
      <w:r>
        <w:rPr>
          <w:snapToGrid w:val="0"/>
          <w:kern w:val="0"/>
          <w:sz w:val="24"/>
          <w:szCs w:val="24"/>
        </w:rPr>
        <w:t>位于</w:t>
      </w:r>
      <w:r>
        <w:rPr>
          <w:rFonts w:hint="eastAsia"/>
          <w:sz w:val="24"/>
          <w:szCs w:val="24"/>
        </w:rPr>
        <w:t>沧州市新华区307国道与清池大道交汇处北100米路东侧</w:t>
      </w:r>
      <w:r>
        <w:rPr>
          <w:snapToGrid w:val="0"/>
          <w:kern w:val="0"/>
          <w:sz w:val="24"/>
          <w:szCs w:val="24"/>
        </w:rPr>
        <w:t>，厂址中心地理坐标为</w:t>
      </w:r>
      <w:r>
        <w:rPr>
          <w:rFonts w:hint="eastAsia"/>
          <w:snapToGrid w:val="0"/>
          <w:kern w:val="0"/>
          <w:sz w:val="24"/>
          <w:szCs w:val="24"/>
        </w:rPr>
        <w:t>北纬</w:t>
      </w:r>
      <w:r>
        <w:rPr>
          <w:snapToGrid w:val="0"/>
          <w:kern w:val="0"/>
          <w:sz w:val="24"/>
          <w:szCs w:val="24"/>
        </w:rPr>
        <w:t>38°16'36.00"</w:t>
      </w:r>
      <w:r>
        <w:rPr>
          <w:rFonts w:hint="eastAsia"/>
          <w:snapToGrid w:val="0"/>
          <w:kern w:val="0"/>
          <w:sz w:val="24"/>
          <w:szCs w:val="24"/>
        </w:rPr>
        <w:t>，东经</w:t>
      </w:r>
      <w:r>
        <w:rPr>
          <w:snapToGrid w:val="0"/>
          <w:kern w:val="0"/>
          <w:sz w:val="24"/>
          <w:szCs w:val="24"/>
        </w:rPr>
        <w:t>116°51'29.00"，</w:t>
      </w:r>
      <w:r>
        <w:rPr>
          <w:color w:val="000000"/>
          <w:sz w:val="24"/>
        </w:rPr>
        <w:t>项目</w:t>
      </w:r>
      <w:r>
        <w:rPr>
          <w:rFonts w:hint="eastAsia"/>
          <w:color w:val="000000"/>
          <w:sz w:val="24"/>
        </w:rPr>
        <w:t>北</w:t>
      </w:r>
      <w:r>
        <w:rPr>
          <w:color w:val="000000"/>
          <w:sz w:val="24"/>
        </w:rPr>
        <w:t>侧为</w:t>
      </w:r>
      <w:r>
        <w:rPr>
          <w:rFonts w:hint="eastAsia"/>
          <w:color w:val="000000"/>
          <w:sz w:val="24"/>
        </w:rPr>
        <w:t>商铺</w:t>
      </w:r>
      <w:r>
        <w:rPr>
          <w:color w:val="000000"/>
          <w:sz w:val="24"/>
        </w:rPr>
        <w:t>，东侧为</w:t>
      </w:r>
      <w:r>
        <w:rPr>
          <w:rFonts w:hint="eastAsia"/>
          <w:color w:val="000000"/>
          <w:sz w:val="24"/>
        </w:rPr>
        <w:t>仓库</w:t>
      </w:r>
      <w:r>
        <w:rPr>
          <w:color w:val="000000"/>
          <w:sz w:val="24"/>
        </w:rPr>
        <w:t>，</w:t>
      </w:r>
      <w:r>
        <w:rPr>
          <w:rFonts w:hint="eastAsia"/>
          <w:color w:val="000000"/>
          <w:sz w:val="24"/>
        </w:rPr>
        <w:t>西侧为清池大道</w:t>
      </w:r>
      <w:r>
        <w:rPr>
          <w:color w:val="000000"/>
          <w:sz w:val="24"/>
        </w:rPr>
        <w:t>，</w:t>
      </w:r>
      <w:r>
        <w:rPr>
          <w:rFonts w:hint="eastAsia"/>
          <w:color w:val="000000"/>
          <w:sz w:val="24"/>
        </w:rPr>
        <w:t>南侧为洗车店</w:t>
      </w:r>
      <w:r>
        <w:rPr>
          <w:color w:val="000000"/>
          <w:sz w:val="24"/>
        </w:rPr>
        <w:t>。</w:t>
      </w:r>
      <w:r>
        <w:rPr>
          <w:rFonts w:hint="eastAsia"/>
          <w:color w:val="000000"/>
          <w:sz w:val="24"/>
          <w:szCs w:val="24"/>
        </w:rPr>
        <w:t>与王希鲁村住户最近距离为</w:t>
      </w:r>
      <w:r>
        <w:rPr>
          <w:color w:val="000000"/>
          <w:sz w:val="24"/>
          <w:szCs w:val="24"/>
        </w:rPr>
        <w:t>70m</w:t>
      </w:r>
      <w:r>
        <w:rPr>
          <w:rFonts w:hint="default" w:ascii="Times New Roman" w:hAnsi="Times New Roman" w:cs="Times New Roman"/>
          <w:sz w:val="24"/>
          <w:szCs w:val="24"/>
          <w:lang w:val="en-US" w:eastAsia="zh-CN"/>
        </w:rPr>
        <w:t>，项目地理位置图见附图1</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周边关系图见附图2。</w:t>
      </w:r>
    </w:p>
    <w:p>
      <w:pPr>
        <w:pStyle w:val="5"/>
        <w:rPr>
          <w:rFonts w:hint="default" w:ascii="Times New Roman" w:hAnsi="Times New Roman" w:eastAsia="宋体" w:cs="Times New Roman"/>
        </w:rPr>
      </w:pPr>
      <w:bookmarkStart w:id="45" w:name="_Toc496979002"/>
      <w:bookmarkStart w:id="46" w:name="_Toc29219"/>
      <w:bookmarkStart w:id="47" w:name="_Toc497001438"/>
      <w:bookmarkStart w:id="48" w:name="_Toc7935"/>
      <w:bookmarkStart w:id="49" w:name="_Toc32226"/>
      <w:bookmarkStart w:id="50" w:name="_Toc20079"/>
      <w:r>
        <w:rPr>
          <w:rFonts w:hint="default" w:ascii="Times New Roman" w:hAnsi="Times New Roman" w:eastAsia="宋体" w:cs="Times New Roman"/>
        </w:rPr>
        <w:t>2.1.3 厂区平面布置</w:t>
      </w:r>
      <w:bookmarkEnd w:id="45"/>
      <w:bookmarkEnd w:id="46"/>
      <w:bookmarkEnd w:id="47"/>
      <w:bookmarkEnd w:id="48"/>
      <w:bookmarkEnd w:id="49"/>
      <w:bookmarkEnd w:id="50"/>
    </w:p>
    <w:p>
      <w:pPr>
        <w:adjustRightInd w:val="0"/>
        <w:snapToGrid w:val="0"/>
        <w:spacing w:line="480" w:lineRule="atLeast"/>
        <w:ind w:firstLine="480" w:firstLineChars="200"/>
        <w:rPr>
          <w:rFonts w:hint="default" w:ascii="Times New Roman" w:hAnsi="Times New Roman" w:eastAsia="宋体" w:cs="Times New Roman"/>
        </w:rPr>
      </w:pPr>
      <w:r>
        <w:rPr>
          <w:rFonts w:hint="default" w:ascii="Times New Roman" w:hAnsi="Times New Roman" w:eastAsia="宋体" w:cs="Times New Roman"/>
          <w:sz w:val="24"/>
          <w:szCs w:val="24"/>
          <w:lang w:val="en-US" w:eastAsia="zh-CN"/>
        </w:rPr>
        <w:t>位于沧州市新华区307国道与清池大道交汇处北100米路东侧，占地为商业用地，占地面积为2000m</w:t>
      </w:r>
      <w:r>
        <w:rPr>
          <w:rFonts w:hint="default" w:ascii="Times New Roman" w:hAnsi="Times New Roman" w:eastAsia="宋体" w:cs="Times New Roman"/>
          <w:sz w:val="24"/>
          <w:szCs w:val="24"/>
          <w:vertAlign w:val="superscript"/>
          <w:lang w:val="en-US" w:eastAsia="zh-CN"/>
        </w:rPr>
        <w:t>2</w:t>
      </w:r>
      <w:r>
        <w:rPr>
          <w:rFonts w:hint="default" w:ascii="Times New Roman" w:hAnsi="Times New Roman" w:eastAsia="宋体" w:cs="Times New Roman"/>
          <w:sz w:val="24"/>
          <w:szCs w:val="24"/>
          <w:lang w:val="en-US" w:eastAsia="zh-CN"/>
        </w:rPr>
        <w:t>，建筑面积为2000m</w:t>
      </w:r>
      <w:r>
        <w:rPr>
          <w:rFonts w:hint="default" w:ascii="Times New Roman" w:hAnsi="Times New Roman" w:eastAsia="宋体" w:cs="Times New Roman"/>
          <w:sz w:val="24"/>
          <w:szCs w:val="24"/>
          <w:vertAlign w:val="superscript"/>
          <w:lang w:val="en-US" w:eastAsia="zh-CN"/>
        </w:rPr>
        <w:t>2</w:t>
      </w:r>
      <w:r>
        <w:rPr>
          <w:rFonts w:hint="default" w:ascii="Times New Roman" w:hAnsi="Times New Roman" w:eastAsia="宋体" w:cs="Times New Roman"/>
          <w:sz w:val="24"/>
          <w:szCs w:val="24"/>
          <w:lang w:val="en-US" w:eastAsia="zh-CN"/>
        </w:rPr>
        <w:t>。主要包括主修车间、钣金车间、喷漆车间、烤漆车间、食堂、宿舍等。项目平面布置见附图3。</w:t>
      </w:r>
      <w:bookmarkStart w:id="51" w:name="_Toc32048"/>
      <w:bookmarkStart w:id="52" w:name="_Toc23037"/>
      <w:bookmarkStart w:id="53" w:name="_Toc23208"/>
    </w:p>
    <w:p>
      <w:pPr>
        <w:pStyle w:val="4"/>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54" w:name="_Toc22973"/>
      <w:r>
        <w:rPr>
          <w:rFonts w:hint="default" w:ascii="Times New Roman" w:hAnsi="Times New Roman" w:eastAsia="宋体" w:cs="Times New Roman"/>
        </w:rPr>
        <w:t>2.2 建设内容</w:t>
      </w:r>
      <w:bookmarkEnd w:id="51"/>
      <w:bookmarkEnd w:id="52"/>
      <w:bookmarkEnd w:id="53"/>
      <w:bookmarkEnd w:id="54"/>
    </w:p>
    <w:p>
      <w:pPr>
        <w:pStyle w:val="5"/>
        <w:spacing w:line="440" w:lineRule="atLeast"/>
        <w:rPr>
          <w:rFonts w:hint="default" w:ascii="Times New Roman" w:hAnsi="Times New Roman" w:eastAsia="宋体" w:cs="Times New Roman"/>
        </w:rPr>
      </w:pPr>
      <w:bookmarkStart w:id="55" w:name="_Toc22512"/>
      <w:bookmarkStart w:id="56" w:name="_Toc26634"/>
      <w:bookmarkStart w:id="57" w:name="_Toc10787"/>
      <w:bookmarkStart w:id="58" w:name="_Toc27539"/>
      <w:bookmarkStart w:id="59" w:name="_Toc496979004"/>
      <w:bookmarkStart w:id="60" w:name="_Toc497001440"/>
      <w:r>
        <w:rPr>
          <w:rFonts w:hint="default" w:ascii="Times New Roman" w:hAnsi="Times New Roman" w:eastAsia="宋体" w:cs="Times New Roman"/>
        </w:rPr>
        <w:t>2.2.1 生产规模及产品方案</w:t>
      </w:r>
      <w:bookmarkEnd w:id="55"/>
      <w:bookmarkEnd w:id="56"/>
      <w:bookmarkEnd w:id="57"/>
      <w:bookmarkEnd w:id="58"/>
      <w:bookmarkEnd w:id="59"/>
      <w:bookmarkEnd w:id="60"/>
    </w:p>
    <w:p>
      <w:pPr>
        <w:adjustRightInd w:val="0"/>
        <w:snapToGrid w:val="0"/>
        <w:spacing w:line="480" w:lineRule="atLeast"/>
        <w:ind w:firstLine="480" w:firstLineChars="200"/>
        <w:rPr>
          <w:rFonts w:hint="default" w:ascii="Times New Roman" w:hAnsi="Times New Roman" w:cs="Times New Roman"/>
          <w:sz w:val="24"/>
          <w:szCs w:val="24"/>
          <w:lang w:val="en-US" w:eastAsia="zh-CN"/>
        </w:rPr>
      </w:pPr>
      <w:bookmarkStart w:id="61" w:name="_Toc25732"/>
      <w:bookmarkStart w:id="62" w:name="_Toc26138"/>
      <w:bookmarkStart w:id="63" w:name="_Toc30045"/>
      <w:bookmarkStart w:id="64" w:name="_Toc26546"/>
      <w:bookmarkStart w:id="65" w:name="_Toc9009"/>
      <w:bookmarkStart w:id="66" w:name="_Toc496979005"/>
      <w:bookmarkStart w:id="67" w:name="_Toc497001441"/>
      <w:r>
        <w:rPr>
          <w:snapToGrid w:val="0"/>
          <w:kern w:val="0"/>
          <w:sz w:val="24"/>
          <w:szCs w:val="24"/>
        </w:rPr>
        <w:t>项目年维修养护汽车3000辆次</w:t>
      </w:r>
      <w:r>
        <w:rPr>
          <w:rFonts w:hint="default" w:ascii="Times New Roman" w:hAnsi="Times New Roman" w:cs="Times New Roman"/>
          <w:sz w:val="24"/>
          <w:szCs w:val="24"/>
          <w:lang w:val="en-US" w:eastAsia="zh-CN"/>
        </w:rPr>
        <w:t>。</w:t>
      </w:r>
      <w:bookmarkEnd w:id="61"/>
      <w:bookmarkEnd w:id="62"/>
      <w:bookmarkEnd w:id="63"/>
      <w:bookmarkEnd w:id="64"/>
      <w:bookmarkEnd w:id="65"/>
    </w:p>
    <w:p>
      <w:pPr>
        <w:pStyle w:val="5"/>
        <w:spacing w:line="440" w:lineRule="atLeast"/>
        <w:rPr>
          <w:rFonts w:hint="default" w:ascii="Times New Roman" w:hAnsi="Times New Roman" w:eastAsia="宋体" w:cs="Times New Roman"/>
          <w:sz w:val="24"/>
          <w:szCs w:val="24"/>
          <w:lang w:eastAsia="zh-CN"/>
        </w:rPr>
      </w:pPr>
      <w:bookmarkStart w:id="68" w:name="_Toc21251"/>
      <w:bookmarkStart w:id="69" w:name="_Toc21731"/>
      <w:bookmarkStart w:id="70" w:name="_Toc20908"/>
      <w:bookmarkStart w:id="71" w:name="_Toc23799"/>
      <w:r>
        <w:rPr>
          <w:rFonts w:hint="default" w:ascii="Times New Roman" w:hAnsi="Times New Roman" w:eastAsia="宋体" w:cs="Times New Roman"/>
        </w:rPr>
        <w:t>2.2.2 主要原辅材料</w:t>
      </w:r>
      <w:bookmarkEnd w:id="66"/>
      <w:bookmarkEnd w:id="67"/>
      <w:bookmarkEnd w:id="68"/>
      <w:bookmarkEnd w:id="69"/>
      <w:bookmarkEnd w:id="70"/>
      <w:bookmarkEnd w:id="71"/>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  原辅材料及能源消耗表</w:t>
      </w:r>
    </w:p>
    <w:tbl>
      <w:tblPr>
        <w:tblStyle w:val="22"/>
        <w:tblW w:w="85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2"/>
        <w:gridCol w:w="2826"/>
        <w:gridCol w:w="1125"/>
        <w:gridCol w:w="1957"/>
        <w:gridCol w:w="18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widowControl/>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kern w:val="0"/>
                <w:sz w:val="21"/>
                <w:szCs w:val="21"/>
              </w:rPr>
            </w:pPr>
            <w:bookmarkStart w:id="72" w:name="_Toc26045"/>
            <w:bookmarkStart w:id="73" w:name="_Toc496979006"/>
            <w:bookmarkStart w:id="74" w:name="_Toc497001442"/>
            <w:bookmarkStart w:id="75" w:name="_Toc5968"/>
            <w:bookmarkStart w:id="76" w:name="_Toc4853"/>
            <w:r>
              <w:rPr>
                <w:rFonts w:hint="default" w:ascii="Times New Roman" w:hAnsi="Times New Roman" w:eastAsia="宋体" w:cs="Times New Roman"/>
                <w:b/>
                <w:bCs/>
                <w:color w:val="auto"/>
                <w:kern w:val="0"/>
                <w:sz w:val="21"/>
                <w:szCs w:val="21"/>
              </w:rPr>
              <w:t>序号</w:t>
            </w:r>
          </w:p>
        </w:tc>
        <w:tc>
          <w:tcPr>
            <w:tcW w:w="2826" w:type="dxa"/>
            <w:tcBorders>
              <w:tl2br w:val="nil"/>
              <w:tr2bl w:val="nil"/>
            </w:tcBorders>
            <w:vAlign w:val="center"/>
          </w:tcPr>
          <w:p>
            <w:pPr>
              <w:keepNext w:val="0"/>
              <w:keepLines w:val="0"/>
              <w:widowControl/>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125" w:type="dxa"/>
            <w:tcBorders>
              <w:tl2br w:val="nil"/>
              <w:tr2bl w:val="nil"/>
            </w:tcBorders>
            <w:vAlign w:val="center"/>
          </w:tcPr>
          <w:p>
            <w:pPr>
              <w:keepNext w:val="0"/>
              <w:keepLines w:val="0"/>
              <w:widowControl/>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单位</w:t>
            </w:r>
          </w:p>
        </w:tc>
        <w:tc>
          <w:tcPr>
            <w:tcW w:w="1957" w:type="dxa"/>
            <w:tcBorders>
              <w:tl2br w:val="nil"/>
              <w:tr2bl w:val="nil"/>
            </w:tcBorders>
            <w:vAlign w:val="center"/>
          </w:tcPr>
          <w:p>
            <w:pPr>
              <w:keepNext w:val="0"/>
              <w:keepLines w:val="0"/>
              <w:widowControl/>
              <w:suppressLineNumbers w:val="0"/>
              <w:spacing w:before="0" w:beforeAutospacing="0" w:after="0" w:afterAutospacing="0" w:line="240" w:lineRule="auto"/>
              <w:ind w:left="0" w:right="0"/>
              <w:jc w:val="center"/>
              <w:rPr>
                <w:rFonts w:hint="eastAsia" w:ascii="Times New Roman" w:hAnsi="Times New Roman" w:eastAsia="宋体" w:cs="Times New Roman"/>
                <w:b/>
                <w:bCs/>
                <w:color w:val="auto"/>
                <w:kern w:val="0"/>
                <w:sz w:val="21"/>
                <w:szCs w:val="21"/>
                <w:lang w:eastAsia="zh-CN"/>
              </w:rPr>
            </w:pPr>
            <w:r>
              <w:rPr>
                <w:rFonts w:hint="default" w:ascii="Times New Roman" w:hAnsi="Times New Roman" w:eastAsia="宋体" w:cs="Times New Roman"/>
                <w:b/>
                <w:bCs/>
                <w:color w:val="auto"/>
                <w:kern w:val="0"/>
                <w:sz w:val="21"/>
                <w:szCs w:val="21"/>
                <w:lang w:eastAsia="zh-CN"/>
              </w:rPr>
              <w:t>环评年</w:t>
            </w:r>
            <w:r>
              <w:rPr>
                <w:rFonts w:hint="default" w:ascii="Times New Roman" w:hAnsi="Times New Roman" w:eastAsia="宋体" w:cs="Times New Roman"/>
                <w:b/>
                <w:bCs/>
                <w:color w:val="auto"/>
                <w:kern w:val="0"/>
                <w:sz w:val="21"/>
                <w:szCs w:val="21"/>
              </w:rPr>
              <w:t>消耗量</w:t>
            </w:r>
          </w:p>
        </w:tc>
        <w:tc>
          <w:tcPr>
            <w:tcW w:w="1897" w:type="dxa"/>
            <w:tcBorders>
              <w:tl2br w:val="nil"/>
              <w:tr2bl w:val="nil"/>
            </w:tcBorders>
            <w:vAlign w:val="center"/>
          </w:tcPr>
          <w:p>
            <w:pPr>
              <w:keepNext w:val="0"/>
              <w:keepLines w:val="0"/>
              <w:widowControl/>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kern w:val="0"/>
                <w:sz w:val="21"/>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1</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 w:hAnsi="??" w:eastAsia="宋体" w:cs="Times New Roman"/>
                <w:kern w:val="2"/>
                <w:sz w:val="21"/>
                <w:szCs w:val="22"/>
                <w:lang w:val="en-US" w:eastAsia="zh-CN" w:bidi="ar-SA"/>
              </w:rPr>
            </w:pPr>
            <w:r>
              <w:rPr>
                <w:rFonts w:hint="default"/>
                <w:color w:val="000000"/>
                <w:kern w:val="0"/>
                <w:szCs w:val="21"/>
              </w:rPr>
              <w:t>润滑油</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 w:hAnsi="??" w:eastAsia="宋体" w:cs="Times New Roman"/>
                <w:kern w:val="2"/>
                <w:sz w:val="21"/>
                <w:szCs w:val="22"/>
                <w:lang w:val="en-US" w:eastAsia="zh-CN" w:bidi="ar-SA"/>
              </w:rPr>
            </w:pPr>
            <w:r>
              <w:rPr>
                <w:rFonts w:hint="eastAsia" w:cs="Times New Roman"/>
                <w:kern w:val="2"/>
                <w:sz w:val="21"/>
                <w:szCs w:val="22"/>
                <w:lang w:val="en-US" w:eastAsia="zh-CN" w:bidi="ar-SA"/>
              </w:rPr>
              <w:t>4</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2</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 w:hAnsi="??" w:eastAsia="宋体" w:cs="Times New Roman"/>
                <w:kern w:val="2"/>
                <w:sz w:val="21"/>
                <w:szCs w:val="22"/>
                <w:lang w:val="en-US" w:eastAsia="zh-CN" w:bidi="ar-SA"/>
              </w:rPr>
            </w:pPr>
            <w:r>
              <w:rPr>
                <w:rFonts w:hint="default"/>
                <w:color w:val="000000"/>
                <w:kern w:val="0"/>
                <w:szCs w:val="21"/>
              </w:rPr>
              <w:t>刹车油</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 w:hAnsi="??" w:eastAsia="宋体" w:cs="Times New Roman"/>
                <w:kern w:val="2"/>
                <w:sz w:val="21"/>
                <w:szCs w:val="22"/>
                <w:lang w:val="en-US" w:eastAsia="zh-CN" w:bidi="ar-SA"/>
              </w:rPr>
            </w:pPr>
            <w:r>
              <w:rPr>
                <w:rFonts w:hint="eastAsia" w:cs="Times New Roman"/>
                <w:kern w:val="2"/>
                <w:sz w:val="21"/>
                <w:szCs w:val="22"/>
                <w:lang w:val="en-US" w:eastAsia="zh-CN" w:bidi="ar-SA"/>
              </w:rPr>
              <w:t>0.1</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3</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 w:hAnsi="??" w:eastAsia="宋体" w:cs="Times New Roman"/>
                <w:kern w:val="2"/>
                <w:sz w:val="21"/>
                <w:szCs w:val="22"/>
                <w:lang w:val="en-US" w:eastAsia="zh-CN" w:bidi="ar-SA"/>
              </w:rPr>
            </w:pPr>
            <w:r>
              <w:rPr>
                <w:rFonts w:hint="default"/>
                <w:color w:val="000000"/>
                <w:kern w:val="0"/>
                <w:szCs w:val="21"/>
              </w:rPr>
              <w:t>变速箱油</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 w:hAnsi="??" w:eastAsia="宋体" w:cs="Times New Roman"/>
                <w:kern w:val="2"/>
                <w:sz w:val="21"/>
                <w:szCs w:val="22"/>
                <w:lang w:val="en-US" w:eastAsia="zh-CN" w:bidi="ar-SA"/>
              </w:rPr>
            </w:pPr>
            <w:r>
              <w:rPr>
                <w:rFonts w:hint="eastAsia" w:cs="Times New Roman"/>
                <w:kern w:val="2"/>
                <w:sz w:val="21"/>
                <w:szCs w:val="22"/>
                <w:lang w:val="en-US" w:eastAsia="zh-CN" w:bidi="ar-SA"/>
              </w:rPr>
              <w:t>0.04</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4</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 w:hAnsi="??" w:eastAsia="宋体" w:cs="Times New Roman"/>
                <w:kern w:val="2"/>
                <w:sz w:val="21"/>
                <w:szCs w:val="22"/>
                <w:lang w:val="en-US" w:eastAsia="zh-CN" w:bidi="ar-SA"/>
              </w:rPr>
            </w:pPr>
            <w:r>
              <w:rPr>
                <w:rFonts w:hint="default"/>
                <w:color w:val="000000"/>
                <w:kern w:val="0"/>
                <w:szCs w:val="21"/>
              </w:rPr>
              <w:t>焊丝</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 w:hAnsi="??" w:eastAsia="宋体" w:cs="Times New Roman"/>
                <w:kern w:val="2"/>
                <w:sz w:val="21"/>
                <w:szCs w:val="22"/>
                <w:lang w:val="en-US" w:eastAsia="zh-CN" w:bidi="ar-SA"/>
              </w:rPr>
            </w:pPr>
            <w:r>
              <w:rPr>
                <w:rFonts w:hint="eastAsia" w:cs="Times New Roman"/>
                <w:kern w:val="2"/>
                <w:sz w:val="21"/>
                <w:szCs w:val="22"/>
                <w:lang w:val="en-US" w:eastAsia="zh-CN" w:bidi="ar-SA"/>
              </w:rPr>
              <w:t>0.3</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5</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 w:hAnsi="??" w:eastAsia="宋体" w:cs="Times New Roman"/>
                <w:kern w:val="2"/>
                <w:sz w:val="21"/>
                <w:szCs w:val="22"/>
                <w:lang w:val="en-US" w:eastAsia="zh-CN" w:bidi="ar-SA"/>
              </w:rPr>
            </w:pPr>
            <w:r>
              <w:rPr>
                <w:rFonts w:hint="default"/>
                <w:color w:val="000000"/>
                <w:kern w:val="0"/>
                <w:szCs w:val="21"/>
              </w:rPr>
              <w:t>腻子</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 w:hAnsi="??" w:eastAsia="宋体" w:cs="Times New Roman"/>
                <w:kern w:val="2"/>
                <w:sz w:val="21"/>
                <w:szCs w:val="22"/>
                <w:lang w:val="en-US" w:eastAsia="zh-CN" w:bidi="ar-SA"/>
              </w:rPr>
            </w:pPr>
            <w:r>
              <w:rPr>
                <w:rFonts w:hint="eastAsia" w:cs="Times New Roman"/>
                <w:kern w:val="2"/>
                <w:sz w:val="21"/>
                <w:szCs w:val="22"/>
                <w:lang w:val="en-US" w:eastAsia="zh-CN" w:bidi="ar-SA"/>
              </w:rPr>
              <w:t>0.6</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6</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 w:hAnsi="??" w:eastAsia="宋体" w:cs="Times New Roman"/>
                <w:kern w:val="2"/>
                <w:sz w:val="21"/>
                <w:szCs w:val="22"/>
                <w:lang w:val="en-US" w:eastAsia="zh-CN" w:bidi="ar-SA"/>
              </w:rPr>
            </w:pPr>
            <w:r>
              <w:rPr>
                <w:rFonts w:hint="default"/>
                <w:color w:val="000000"/>
                <w:kern w:val="0"/>
                <w:szCs w:val="21"/>
              </w:rPr>
              <w:t>汽车零配件</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eastAsia" w:ascii="??" w:hAnsi="??" w:eastAsia="宋体" w:cs="Times New Roman"/>
                <w:kern w:val="2"/>
                <w:sz w:val="21"/>
                <w:szCs w:val="22"/>
                <w:lang w:val="en-US" w:eastAsia="zh-CN" w:bidi="ar-SA"/>
              </w:rPr>
            </w:pPr>
            <w:r>
              <w:rPr>
                <w:rFonts w:hint="eastAsia" w:cs="Times New Roman"/>
                <w:kern w:val="2"/>
                <w:sz w:val="21"/>
                <w:szCs w:val="22"/>
                <w:lang w:val="en-US" w:eastAsia="zh-CN" w:bidi="ar-SA"/>
              </w:rPr>
              <w:t>若干</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7</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eastAsia" w:eastAsia="宋体"/>
                <w:lang w:eastAsia="zh-CN"/>
              </w:rPr>
            </w:pPr>
            <w:r>
              <w:rPr>
                <w:rFonts w:hint="default"/>
                <w:color w:val="000000"/>
                <w:kern w:val="0"/>
                <w:szCs w:val="21"/>
              </w:rPr>
              <w:t>稀释剂</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eastAsia="宋体"/>
                <w:lang w:val="en-US" w:eastAsia="zh-CN"/>
              </w:rPr>
            </w:pPr>
            <w:r>
              <w:rPr>
                <w:rFonts w:hint="eastAsia"/>
                <w:lang w:val="en-US" w:eastAsia="zh-CN"/>
              </w:rPr>
              <w:t>0.045</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color w:val="000000"/>
                <w:kern w:val="0"/>
                <w:szCs w:val="21"/>
              </w:rPr>
              <w:t>油漆</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eastAsia="宋体"/>
                <w:lang w:val="en-US" w:eastAsia="zh-CN"/>
              </w:rPr>
            </w:pPr>
            <w:r>
              <w:rPr>
                <w:rFonts w:hint="eastAsia"/>
                <w:lang w:val="en-US" w:eastAsia="zh-CN"/>
              </w:rPr>
              <w:t>0.042</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9</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eastAsia" w:eastAsia="宋体"/>
                <w:lang w:eastAsia="zh-CN"/>
              </w:rPr>
            </w:pPr>
            <w:r>
              <w:rPr>
                <w:rFonts w:hint="default"/>
                <w:color w:val="000000"/>
                <w:kern w:val="0"/>
                <w:szCs w:val="21"/>
              </w:rPr>
              <w:t>砂纸</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t/a</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eastAsia="宋体"/>
                <w:lang w:val="en-US" w:eastAsia="zh-CN"/>
              </w:rPr>
            </w:pPr>
            <w:r>
              <w:rPr>
                <w:rFonts w:hint="eastAsia"/>
                <w:lang w:val="en-US" w:eastAsia="zh-CN"/>
              </w:rPr>
              <w:t>0.5</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282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eastAsia" w:eastAsia="宋体"/>
                <w:lang w:eastAsia="zh-CN"/>
              </w:rPr>
            </w:pPr>
            <w:r>
              <w:rPr>
                <w:rFonts w:hint="default"/>
                <w:color w:val="000000"/>
                <w:kern w:val="0"/>
                <w:szCs w:val="21"/>
              </w:rPr>
              <w:t>遮蔽纸</w:t>
            </w:r>
          </w:p>
        </w:tc>
        <w:tc>
          <w:tcPr>
            <w:tcW w:w="1125"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kg</w:t>
            </w:r>
          </w:p>
        </w:tc>
        <w:tc>
          <w:tcPr>
            <w:tcW w:w="1957" w:type="dxa"/>
            <w:tcBorders>
              <w:tl2br w:val="nil"/>
              <w:tr2bl w:val="nil"/>
            </w:tcBorders>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eastAsia="宋体"/>
                <w:lang w:val="en-US" w:eastAsia="zh-CN"/>
              </w:rPr>
            </w:pPr>
            <w:r>
              <w:rPr>
                <w:rFonts w:hint="eastAsia"/>
                <w:lang w:val="en-US" w:eastAsia="zh-CN"/>
              </w:rPr>
              <w:t>360</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11</w:t>
            </w:r>
          </w:p>
        </w:tc>
        <w:tc>
          <w:tcPr>
            <w:tcW w:w="2826" w:type="dxa"/>
            <w:tcBorders>
              <w:tl2br w:val="nil"/>
              <w:tr2bl w:val="nil"/>
            </w:tcBorders>
            <w:vAlign w:val="center"/>
          </w:tcPr>
          <w:p>
            <w:pPr>
              <w:pStyle w:val="66"/>
              <w:keepNext w:val="0"/>
              <w:keepLines w:val="0"/>
              <w:suppressLineNumbers w:val="0"/>
              <w:spacing w:before="0" w:beforeAutospacing="0" w:after="0" w:afterAutospacing="0"/>
              <w:ind w:left="0" w:right="0"/>
              <w:jc w:val="center"/>
              <w:rPr>
                <w:rFonts w:hint="default"/>
                <w:color w:val="000000"/>
                <w:kern w:val="0"/>
                <w:szCs w:val="21"/>
              </w:rPr>
            </w:pPr>
            <w:r>
              <w:rPr>
                <w:rFonts w:hint="default"/>
                <w:lang w:val="en-US" w:eastAsia="zh-CN"/>
              </w:rPr>
              <w:t>新鲜水</w:t>
            </w:r>
          </w:p>
        </w:tc>
        <w:tc>
          <w:tcPr>
            <w:tcW w:w="1125" w:type="dxa"/>
            <w:tcBorders>
              <w:tl2br w:val="nil"/>
              <w:tr2bl w:val="nil"/>
            </w:tcBorders>
            <w:vAlign w:val="center"/>
          </w:tcPr>
          <w:p>
            <w:pPr>
              <w:pStyle w:val="66"/>
              <w:keepNext w:val="0"/>
              <w:keepLines w:val="0"/>
              <w:suppressLineNumbers w:val="0"/>
              <w:spacing w:before="0" w:beforeAutospacing="0" w:after="0" w:afterAutospacing="0"/>
              <w:ind w:left="0" w:right="0"/>
              <w:jc w:val="center"/>
              <w:rPr>
                <w:rFonts w:hint="eastAsia" w:ascii="Times New Roman" w:hAnsi="Times New Roman" w:cs="Times New Roman"/>
                <w:sz w:val="21"/>
                <w:szCs w:val="21"/>
                <w:lang w:val="en-US" w:eastAsia="zh-CN"/>
              </w:rPr>
            </w:pPr>
            <w:r>
              <w:rPr>
                <w:rFonts w:hint="default"/>
                <w:lang w:val="en-US" w:eastAsia="zh-CN"/>
              </w:rPr>
              <w:t>m</w:t>
            </w:r>
            <w:r>
              <w:rPr>
                <w:rFonts w:hint="default"/>
                <w:vertAlign w:val="superscript"/>
                <w:lang w:val="en-US" w:eastAsia="zh-CN"/>
              </w:rPr>
              <w:t>3</w:t>
            </w:r>
            <w:r>
              <w:rPr>
                <w:rFonts w:hint="default"/>
                <w:lang w:val="en-US" w:eastAsia="zh-CN"/>
              </w:rPr>
              <w:t>/a</w:t>
            </w:r>
          </w:p>
        </w:tc>
        <w:tc>
          <w:tcPr>
            <w:tcW w:w="1957" w:type="dxa"/>
            <w:tcBorders>
              <w:tl2br w:val="nil"/>
              <w:tr2bl w:val="nil"/>
            </w:tcBorders>
            <w:vAlign w:val="center"/>
          </w:tcPr>
          <w:p>
            <w:pPr>
              <w:pStyle w:val="66"/>
              <w:keepNext w:val="0"/>
              <w:keepLines w:val="0"/>
              <w:suppressLineNumbers w:val="0"/>
              <w:spacing w:before="0" w:beforeAutospacing="0" w:after="0" w:afterAutospacing="0"/>
              <w:ind w:left="0" w:right="0"/>
              <w:jc w:val="center"/>
              <w:rPr>
                <w:rFonts w:hint="eastAsia"/>
                <w:lang w:val="en-US" w:eastAsia="zh-CN"/>
              </w:rPr>
            </w:pPr>
            <w:r>
              <w:rPr>
                <w:rFonts w:hint="default"/>
                <w:lang w:val="en-US" w:eastAsia="zh-CN"/>
              </w:rPr>
              <w:t>1332</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792"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2826" w:type="dxa"/>
            <w:tcBorders>
              <w:tl2br w:val="nil"/>
              <w:tr2bl w:val="nil"/>
            </w:tcBorders>
            <w:vAlign w:val="center"/>
          </w:tcPr>
          <w:p>
            <w:pPr>
              <w:pStyle w:val="66"/>
              <w:keepNext w:val="0"/>
              <w:keepLines w:val="0"/>
              <w:suppressLineNumbers w:val="0"/>
              <w:spacing w:before="0" w:beforeAutospacing="0" w:after="0" w:afterAutospacing="0"/>
              <w:ind w:left="0" w:right="0"/>
              <w:jc w:val="center"/>
              <w:rPr>
                <w:rFonts w:hint="default"/>
                <w:color w:val="000000"/>
                <w:kern w:val="0"/>
                <w:szCs w:val="21"/>
              </w:rPr>
            </w:pPr>
            <w:r>
              <w:rPr>
                <w:rFonts w:hint="default"/>
                <w:lang w:val="en-US" w:eastAsia="zh-CN"/>
              </w:rPr>
              <w:t>电</w:t>
            </w:r>
          </w:p>
        </w:tc>
        <w:tc>
          <w:tcPr>
            <w:tcW w:w="1125" w:type="dxa"/>
            <w:tcBorders>
              <w:tl2br w:val="nil"/>
              <w:tr2bl w:val="nil"/>
            </w:tcBorders>
            <w:vAlign w:val="center"/>
          </w:tcPr>
          <w:p>
            <w:pPr>
              <w:pStyle w:val="66"/>
              <w:keepNext w:val="0"/>
              <w:keepLines w:val="0"/>
              <w:suppressLineNumbers w:val="0"/>
              <w:spacing w:before="0" w:beforeAutospacing="0" w:after="0" w:afterAutospacing="0"/>
              <w:ind w:left="0" w:right="0"/>
              <w:jc w:val="center"/>
              <w:rPr>
                <w:rFonts w:hint="eastAsia" w:ascii="Times New Roman" w:hAnsi="Times New Roman" w:cs="Times New Roman"/>
                <w:sz w:val="21"/>
                <w:szCs w:val="21"/>
                <w:lang w:val="en-US" w:eastAsia="zh-CN"/>
              </w:rPr>
            </w:pPr>
            <w:r>
              <w:rPr>
                <w:rFonts w:hint="default"/>
                <w:lang w:val="en-US" w:eastAsia="zh-CN"/>
              </w:rPr>
              <w:t>10</w:t>
            </w:r>
            <w:r>
              <w:rPr>
                <w:rFonts w:hint="default"/>
                <w:vertAlign w:val="superscript"/>
                <w:lang w:val="en-US" w:eastAsia="zh-CN"/>
              </w:rPr>
              <w:t>4</w:t>
            </w:r>
            <w:r>
              <w:rPr>
                <w:rFonts w:hint="default"/>
                <w:lang w:val="en-US" w:eastAsia="zh-CN"/>
              </w:rPr>
              <w:t>kW·h</w:t>
            </w:r>
          </w:p>
        </w:tc>
        <w:tc>
          <w:tcPr>
            <w:tcW w:w="1957" w:type="dxa"/>
            <w:tcBorders>
              <w:tl2br w:val="nil"/>
              <w:tr2bl w:val="nil"/>
            </w:tcBorders>
            <w:vAlign w:val="center"/>
          </w:tcPr>
          <w:p>
            <w:pPr>
              <w:pStyle w:val="66"/>
              <w:keepNext w:val="0"/>
              <w:keepLines w:val="0"/>
              <w:suppressLineNumbers w:val="0"/>
              <w:spacing w:before="0" w:beforeAutospacing="0" w:after="0" w:afterAutospacing="0"/>
              <w:ind w:left="0" w:right="0"/>
              <w:jc w:val="center"/>
              <w:rPr>
                <w:rFonts w:hint="eastAsia"/>
                <w:lang w:val="en-US" w:eastAsia="zh-CN"/>
              </w:rPr>
            </w:pPr>
            <w:r>
              <w:rPr>
                <w:rFonts w:hint="default"/>
                <w:lang w:val="en-US" w:eastAsia="zh-CN"/>
              </w:rPr>
              <w:t>3.5</w:t>
            </w:r>
          </w:p>
        </w:tc>
        <w:tc>
          <w:tcPr>
            <w:tcW w:w="1897" w:type="dxa"/>
            <w:tcBorders>
              <w:tl2br w:val="nil"/>
              <w:tr2bl w:val="nil"/>
            </w:tcBorders>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与环评一致</w:t>
            </w:r>
          </w:p>
        </w:tc>
      </w:tr>
    </w:tbl>
    <w:p>
      <w:pPr>
        <w:pStyle w:val="5"/>
        <w:rPr>
          <w:rFonts w:hint="default" w:ascii="Times New Roman" w:hAnsi="Times New Roman" w:eastAsia="宋体" w:cs="Times New Roman"/>
        </w:rPr>
      </w:pPr>
      <w:bookmarkStart w:id="77" w:name="_Toc15858"/>
      <w:r>
        <w:rPr>
          <w:rFonts w:hint="default" w:ascii="Times New Roman" w:hAnsi="Times New Roman" w:eastAsia="宋体" w:cs="Times New Roman"/>
          <w:color w:val="auto"/>
        </w:rPr>
        <w:t>2.2.3 主体设施建设内容</w:t>
      </w:r>
      <w:bookmarkEnd w:id="72"/>
      <w:bookmarkEnd w:id="73"/>
      <w:bookmarkEnd w:id="74"/>
      <w:bookmarkEnd w:id="75"/>
      <w:bookmarkEnd w:id="76"/>
      <w:bookmarkEnd w:id="77"/>
    </w:p>
    <w:p>
      <w:pPr>
        <w:keepNext w:val="0"/>
        <w:keepLines w:val="0"/>
        <w:pageBreakBefore w:val="0"/>
        <w:widowControl w:val="0"/>
        <w:kinsoku/>
        <w:wordWrap/>
        <w:overflowPunct/>
        <w:topLinePunct w:val="0"/>
        <w:autoSpaceDE w:val="0"/>
        <w:autoSpaceDN w:val="0"/>
        <w:bidi w:val="0"/>
        <w:adjustRightInd/>
        <w:snapToGrid/>
        <w:spacing w:before="84" w:after="0" w:line="360" w:lineRule="auto"/>
        <w:ind w:left="108" w:right="96" w:firstLine="482"/>
        <w:jc w:val="left"/>
        <w:textAlignment w:val="auto"/>
        <w:rPr>
          <w:rFonts w:hint="eastAsia" w:ascii="Times New Roman" w:hAnsi="Times New Roman" w:cs="Times New Roman"/>
          <w:sz w:val="24"/>
          <w:szCs w:val="24"/>
          <w:lang w:eastAsia="zh-CN"/>
        </w:rPr>
      </w:pPr>
      <w:r>
        <w:rPr>
          <w:rFonts w:hint="default" w:ascii="Times New Roman" w:hAnsi="Times New Roman" w:eastAsia="宋体" w:cs="Times New Roman"/>
          <w:sz w:val="24"/>
          <w:szCs w:val="24"/>
          <w:lang w:eastAsia="zh-CN"/>
        </w:rPr>
        <w:t>项目工程内容一览表见表2-3</w:t>
      </w:r>
      <w:r>
        <w:rPr>
          <w:rFonts w:hint="eastAsia" w:ascii="Times New Roman" w:hAnsi="Times New Roman" w:cs="Times New Roman"/>
          <w:sz w:val="24"/>
          <w:szCs w:val="24"/>
          <w:lang w:eastAsia="zh-CN"/>
        </w:rPr>
        <w:t>。</w:t>
      </w:r>
    </w:p>
    <w:p>
      <w:pPr>
        <w:keepNext w:val="0"/>
        <w:keepLines w:val="0"/>
        <w:pageBreakBefore w:val="0"/>
        <w:widowControl w:val="0"/>
        <w:kinsoku/>
        <w:wordWrap/>
        <w:overflowPunct/>
        <w:topLinePunct w:val="0"/>
        <w:autoSpaceDE w:val="0"/>
        <w:autoSpaceDN w:val="0"/>
        <w:bidi w:val="0"/>
        <w:adjustRightInd/>
        <w:snapToGrid/>
        <w:spacing w:before="84" w:after="0" w:line="240" w:lineRule="auto"/>
        <w:ind w:right="96"/>
        <w:jc w:val="center"/>
        <w:textAlignment w:val="auto"/>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表</w:t>
      </w:r>
      <w:r>
        <w:rPr>
          <w:rFonts w:hint="eastAsia" w:ascii="Times New Roman" w:hAnsi="Times New Roman" w:eastAsia="宋体" w:cs="Times New Roman"/>
          <w:b/>
          <w:bCs/>
          <w:sz w:val="24"/>
          <w:szCs w:val="24"/>
          <w:lang w:val="en-US" w:eastAsia="zh-CN"/>
        </w:rPr>
        <w:t xml:space="preserve"> </w:t>
      </w:r>
      <w:r>
        <w:rPr>
          <w:rFonts w:hint="default" w:ascii="Times New Roman" w:hAnsi="Times New Roman" w:eastAsia="宋体" w:cs="Times New Roman"/>
          <w:b/>
          <w:bCs/>
          <w:sz w:val="24"/>
          <w:szCs w:val="24"/>
        </w:rPr>
        <w:t>2-3  工程内容一览表</w:t>
      </w:r>
    </w:p>
    <w:tbl>
      <w:tblPr>
        <w:tblStyle w:val="22"/>
        <w:tblW w:w="8611" w:type="dxa"/>
        <w:jc w:val="center"/>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707"/>
        <w:gridCol w:w="625"/>
        <w:gridCol w:w="1325"/>
        <w:gridCol w:w="4563"/>
        <w:gridCol w:w="1391"/>
      </w:tblGrid>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b/>
                <w:bCs/>
                <w:color w:val="000000"/>
              </w:rPr>
            </w:pPr>
            <w:r>
              <w:rPr>
                <w:rFonts w:hint="default"/>
                <w:b/>
                <w:bCs/>
                <w:color w:val="000000"/>
              </w:rPr>
              <w:t>序号</w:t>
            </w:r>
          </w:p>
        </w:tc>
        <w:tc>
          <w:tcPr>
            <w:tcW w:w="1950" w:type="dxa"/>
            <w:gridSpan w:val="2"/>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b/>
                <w:bCs/>
                <w:color w:val="000000"/>
              </w:rPr>
            </w:pPr>
            <w:r>
              <w:rPr>
                <w:rFonts w:hint="default"/>
                <w:b/>
                <w:bCs/>
                <w:color w:val="000000"/>
              </w:rPr>
              <w:t>项目组成</w:t>
            </w:r>
          </w:p>
        </w:tc>
        <w:tc>
          <w:tcPr>
            <w:tcW w:w="4563" w:type="dxa"/>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b/>
                <w:bCs/>
                <w:color w:val="000000"/>
              </w:rPr>
            </w:pPr>
            <w:r>
              <w:rPr>
                <w:rFonts w:hint="default"/>
                <w:b/>
                <w:color w:val="000000"/>
                <w:szCs w:val="21"/>
              </w:rPr>
              <w:t>工程内容</w:t>
            </w:r>
          </w:p>
        </w:tc>
        <w:tc>
          <w:tcPr>
            <w:tcW w:w="1391" w:type="dxa"/>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eastAsia" w:eastAsia="宋体"/>
                <w:b/>
                <w:color w:val="000000"/>
                <w:szCs w:val="21"/>
                <w:lang w:eastAsia="zh-CN"/>
              </w:rPr>
            </w:pPr>
            <w:r>
              <w:rPr>
                <w:rFonts w:hint="eastAsia"/>
                <w:b/>
                <w:color w:val="000000"/>
                <w:szCs w:val="21"/>
                <w:lang w:eastAsia="zh-CN"/>
              </w:rPr>
              <w:t>实际情况</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1</w:t>
            </w:r>
          </w:p>
        </w:tc>
        <w:tc>
          <w:tcPr>
            <w:tcW w:w="625"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主体工程</w:t>
            </w: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eastAsia"/>
                <w:color w:val="000000"/>
                <w:lang w:eastAsia="zh-CN"/>
              </w:rPr>
              <w:t>维修车间</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w:t>
            </w:r>
            <w:r>
              <w:rPr>
                <w:rFonts w:hint="default"/>
                <w:color w:val="000000"/>
                <w:lang w:eastAsia="zh-CN"/>
              </w:rPr>
              <w:t>1100</w:t>
            </w:r>
            <w:r>
              <w:rPr>
                <w:rFonts w:hint="default"/>
                <w:color w:val="000000"/>
              </w:rPr>
              <w:t>m</w:t>
            </w:r>
            <w:r>
              <w:rPr>
                <w:rFonts w:hint="default"/>
                <w:color w:val="000000"/>
                <w:vertAlign w:val="superscript"/>
              </w:rPr>
              <w:t>2</w:t>
            </w:r>
            <w:r>
              <w:rPr>
                <w:rFonts w:hint="default"/>
                <w:color w:val="000000"/>
              </w:rPr>
              <w:t>，轻钢结构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625"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eastAsia"/>
                <w:color w:val="000000"/>
                <w:lang w:eastAsia="zh-CN"/>
              </w:rPr>
              <w:t>喷漆间</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w:t>
            </w:r>
            <w:r>
              <w:rPr>
                <w:rFonts w:hint="default"/>
                <w:color w:val="000000"/>
                <w:lang w:eastAsia="zh-CN"/>
              </w:rPr>
              <w:t>60</w:t>
            </w:r>
            <w:r>
              <w:rPr>
                <w:rFonts w:hint="default"/>
                <w:color w:val="000000"/>
              </w:rPr>
              <w:t>m</w:t>
            </w:r>
            <w:r>
              <w:rPr>
                <w:rFonts w:hint="default"/>
                <w:color w:val="000000"/>
                <w:vertAlign w:val="superscript"/>
              </w:rPr>
              <w:t>2</w:t>
            </w:r>
            <w:r>
              <w:rPr>
                <w:rFonts w:hint="default"/>
                <w:color w:val="000000"/>
              </w:rPr>
              <w:t>，轻钢结构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625"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lang w:eastAsia="zh-CN"/>
              </w:rPr>
            </w:pPr>
            <w:r>
              <w:rPr>
                <w:rFonts w:hint="eastAsia"/>
                <w:color w:val="000000"/>
                <w:lang w:eastAsia="zh-CN"/>
              </w:rPr>
              <w:t>烤漆车间</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占地面积30m</w:t>
            </w:r>
            <w:r>
              <w:rPr>
                <w:rFonts w:hint="default"/>
                <w:color w:val="000000"/>
                <w:vertAlign w:val="superscript"/>
              </w:rPr>
              <w:t>2</w:t>
            </w:r>
            <w:r>
              <w:rPr>
                <w:rFonts w:hint="default"/>
                <w:color w:val="000000"/>
              </w:rPr>
              <w:t>，</w:t>
            </w:r>
            <w:r>
              <w:rPr>
                <w:rFonts w:hint="eastAsia"/>
                <w:color w:val="000000"/>
                <w:lang w:eastAsia="zh-CN"/>
              </w:rPr>
              <w:t>砖混结构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625"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eastAsia"/>
                <w:color w:val="000000"/>
                <w:lang w:eastAsia="zh-CN"/>
              </w:rPr>
              <w:t>钣金车间</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占地面积200m</w:t>
            </w:r>
            <w:r>
              <w:rPr>
                <w:rFonts w:hint="default"/>
                <w:color w:val="000000"/>
                <w:vertAlign w:val="superscript"/>
              </w:rPr>
              <w:t>2</w:t>
            </w:r>
            <w:r>
              <w:rPr>
                <w:rFonts w:hint="default"/>
                <w:color w:val="000000"/>
              </w:rPr>
              <w:t>，</w:t>
            </w:r>
            <w:r>
              <w:rPr>
                <w:rFonts w:hint="eastAsia"/>
                <w:color w:val="000000"/>
                <w:lang w:eastAsia="zh-CN"/>
              </w:rPr>
              <w:t>砖混结构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2</w:t>
            </w:r>
          </w:p>
        </w:tc>
        <w:tc>
          <w:tcPr>
            <w:tcW w:w="625"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辅助工程</w:t>
            </w: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eastAsia"/>
                <w:color w:val="000000"/>
                <w:lang w:eastAsia="zh-CN"/>
              </w:rPr>
              <w:t>库房</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占地面积100m</w:t>
            </w:r>
            <w:r>
              <w:rPr>
                <w:rFonts w:hint="default"/>
                <w:color w:val="000000"/>
                <w:vertAlign w:val="superscript"/>
              </w:rPr>
              <w:t>2</w:t>
            </w:r>
            <w:r>
              <w:rPr>
                <w:rFonts w:hint="default"/>
                <w:color w:val="000000"/>
              </w:rPr>
              <w:t>，轻钢结构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val="en-US" w:eastAsia="zh-CN"/>
              </w:rPr>
            </w:pPr>
            <w:r>
              <w:rPr>
                <w:rFonts w:hint="eastAsia"/>
                <w:color w:val="000000"/>
                <w:lang w:val="en-US" w:eastAsia="zh-CN"/>
              </w:rPr>
              <w:t>办公区</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占地面积310m</w:t>
            </w:r>
            <w:r>
              <w:rPr>
                <w:rFonts w:hint="default"/>
                <w:color w:val="000000"/>
                <w:vertAlign w:val="superscript"/>
              </w:rPr>
              <w:t>2</w:t>
            </w:r>
            <w:r>
              <w:rPr>
                <w:rFonts w:hint="default"/>
                <w:color w:val="000000"/>
              </w:rPr>
              <w:t>，轻钢结构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val="en-US" w:eastAsia="zh-CN"/>
              </w:rPr>
            </w:pPr>
            <w:r>
              <w:rPr>
                <w:rFonts w:hint="eastAsia"/>
                <w:color w:val="000000"/>
                <w:lang w:val="en-US" w:eastAsia="zh-CN"/>
              </w:rPr>
              <w:t>危废间</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占地面积40m</w:t>
            </w:r>
            <w:r>
              <w:rPr>
                <w:rFonts w:hint="default"/>
                <w:color w:val="000000"/>
                <w:vertAlign w:val="superscript"/>
              </w:rPr>
              <w:t>2</w:t>
            </w:r>
            <w:r>
              <w:rPr>
                <w:rFonts w:hint="default"/>
                <w:color w:val="000000"/>
              </w:rPr>
              <w:t>，轻钢结构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val="en-US" w:eastAsia="zh-CN"/>
              </w:rPr>
            </w:pPr>
            <w:r>
              <w:rPr>
                <w:rFonts w:hint="eastAsia"/>
                <w:color w:val="000000"/>
                <w:lang w:val="en-US" w:eastAsia="zh-CN"/>
              </w:rPr>
              <w:t>业务接待室</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default"/>
                <w:color w:val="000000"/>
              </w:rPr>
              <w:t>占地面积70m</w:t>
            </w:r>
            <w:r>
              <w:rPr>
                <w:rFonts w:hint="default"/>
                <w:color w:val="000000"/>
                <w:vertAlign w:val="superscript"/>
              </w:rPr>
              <w:t>2</w:t>
            </w:r>
            <w:r>
              <w:rPr>
                <w:rFonts w:hint="eastAsia"/>
                <w:color w:val="000000"/>
                <w:lang w:eastAsia="zh-CN"/>
              </w:rPr>
              <w:t>，砖混结构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eastAsia"/>
                <w:color w:val="000000"/>
                <w:lang w:eastAsia="zh-CN"/>
              </w:rPr>
              <w:t>库房</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占地面积100m</w:t>
            </w:r>
            <w:r>
              <w:rPr>
                <w:rFonts w:hint="default"/>
                <w:color w:val="000000"/>
                <w:vertAlign w:val="superscript"/>
              </w:rPr>
              <w:t>2</w:t>
            </w:r>
            <w:r>
              <w:rPr>
                <w:rFonts w:hint="default"/>
                <w:color w:val="000000"/>
              </w:rPr>
              <w:t>，</w:t>
            </w:r>
            <w:r>
              <w:rPr>
                <w:rFonts w:hint="eastAsia"/>
                <w:color w:val="000000"/>
                <w:lang w:eastAsia="zh-CN"/>
              </w:rPr>
              <w:t>砖混结构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left"/>
              <w:rPr>
                <w:rFonts w:hint="default"/>
                <w:color w:val="000000"/>
                <w:szCs w:val="24"/>
              </w:rPr>
            </w:pPr>
          </w:p>
        </w:tc>
        <w:tc>
          <w:tcPr>
            <w:tcW w:w="1325"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eastAsia"/>
                <w:color w:val="000000"/>
                <w:lang w:eastAsia="zh-CN"/>
              </w:rPr>
            </w:pPr>
            <w:r>
              <w:rPr>
                <w:rFonts w:hint="eastAsia"/>
                <w:color w:val="000000"/>
                <w:lang w:eastAsia="zh-CN"/>
              </w:rPr>
              <w:t>客户休息区</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占地面积80m</w:t>
            </w:r>
            <w:r>
              <w:rPr>
                <w:rFonts w:hint="default"/>
                <w:color w:val="000000"/>
                <w:vertAlign w:val="superscript"/>
              </w:rPr>
              <w:t>2</w:t>
            </w:r>
            <w:r>
              <w:rPr>
                <w:rFonts w:hint="default"/>
                <w:color w:val="000000"/>
              </w:rPr>
              <w:t>，</w:t>
            </w:r>
            <w:r>
              <w:rPr>
                <w:rFonts w:hint="eastAsia"/>
                <w:color w:val="000000"/>
                <w:lang w:eastAsia="zh-CN"/>
              </w:rPr>
              <w:t>砖混结构</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bl>
    <w:p/>
    <w:p>
      <w:pPr>
        <w:pStyle w:val="2"/>
        <w:rPr>
          <w:rFonts w:hint="eastAsia" w:eastAsia="宋体"/>
          <w:lang w:eastAsia="zh-CN"/>
        </w:rPr>
      </w:pPr>
      <w:r>
        <w:rPr>
          <w:rFonts w:hint="eastAsia"/>
          <w:lang w:eastAsia="zh-CN"/>
        </w:rPr>
        <w:t>续上表</w:t>
      </w:r>
    </w:p>
    <w:tbl>
      <w:tblPr>
        <w:tblStyle w:val="22"/>
        <w:tblW w:w="8611" w:type="dxa"/>
        <w:jc w:val="center"/>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707"/>
        <w:gridCol w:w="625"/>
        <w:gridCol w:w="1325"/>
        <w:gridCol w:w="4563"/>
        <w:gridCol w:w="1391"/>
      </w:tblGrid>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b/>
                <w:bCs/>
                <w:color w:val="000000"/>
              </w:rPr>
            </w:pPr>
            <w:r>
              <w:rPr>
                <w:rFonts w:hint="default"/>
                <w:b/>
                <w:bCs/>
                <w:color w:val="000000"/>
              </w:rPr>
              <w:t>序号</w:t>
            </w:r>
          </w:p>
        </w:tc>
        <w:tc>
          <w:tcPr>
            <w:tcW w:w="1950" w:type="dxa"/>
            <w:gridSpan w:val="2"/>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b/>
                <w:bCs/>
                <w:color w:val="000000"/>
              </w:rPr>
            </w:pPr>
            <w:r>
              <w:rPr>
                <w:rFonts w:hint="default"/>
                <w:b/>
                <w:bCs/>
                <w:color w:val="000000"/>
              </w:rPr>
              <w:t>项目组成</w:t>
            </w:r>
          </w:p>
        </w:tc>
        <w:tc>
          <w:tcPr>
            <w:tcW w:w="4563" w:type="dxa"/>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b/>
                <w:bCs/>
                <w:color w:val="000000"/>
              </w:rPr>
            </w:pPr>
            <w:r>
              <w:rPr>
                <w:rFonts w:hint="default"/>
                <w:b/>
                <w:color w:val="000000"/>
                <w:szCs w:val="21"/>
              </w:rPr>
              <w:t>工程内容</w:t>
            </w:r>
          </w:p>
        </w:tc>
        <w:tc>
          <w:tcPr>
            <w:tcW w:w="1391" w:type="dxa"/>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eastAsia" w:eastAsia="宋体"/>
                <w:b/>
                <w:color w:val="000000"/>
                <w:szCs w:val="21"/>
                <w:lang w:eastAsia="zh-CN"/>
              </w:rPr>
            </w:pPr>
            <w:r>
              <w:rPr>
                <w:rFonts w:hint="eastAsia"/>
                <w:b/>
                <w:color w:val="000000"/>
                <w:szCs w:val="21"/>
                <w:lang w:eastAsia="zh-CN"/>
              </w:rPr>
              <w:t>实际情况</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3</w:t>
            </w:r>
          </w:p>
        </w:tc>
        <w:tc>
          <w:tcPr>
            <w:tcW w:w="625"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公用工程</w:t>
            </w:r>
          </w:p>
        </w:tc>
        <w:tc>
          <w:tcPr>
            <w:tcW w:w="1325" w:type="dxa"/>
            <w:noWrap w:val="0"/>
            <w:vAlign w:val="center"/>
          </w:tcPr>
          <w:p>
            <w:pPr>
              <w:keepNext w:val="0"/>
              <w:keepLines w:val="0"/>
              <w:suppressLineNumbers w:val="0"/>
              <w:spacing w:before="0" w:beforeAutospacing="0" w:after="0" w:afterAutospacing="0" w:line="360" w:lineRule="exact"/>
              <w:ind w:left="0" w:right="0"/>
              <w:jc w:val="center"/>
              <w:rPr>
                <w:rFonts w:hint="default"/>
                <w:color w:val="000000"/>
              </w:rPr>
            </w:pPr>
            <w:r>
              <w:rPr>
                <w:rFonts w:hint="default"/>
                <w:color w:val="000000"/>
                <w:szCs w:val="21"/>
              </w:rPr>
              <w:t>供水</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szCs w:val="21"/>
              </w:rPr>
              <w:t>由</w:t>
            </w:r>
            <w:r>
              <w:rPr>
                <w:rFonts w:hint="default"/>
                <w:color w:val="000000"/>
                <w:szCs w:val="21"/>
                <w:lang w:eastAsia="zh-CN"/>
              </w:rPr>
              <w:t>沧州市新华区</w:t>
            </w:r>
            <w:r>
              <w:rPr>
                <w:rFonts w:hint="default"/>
                <w:color w:val="000000"/>
                <w:szCs w:val="21"/>
              </w:rPr>
              <w:t>供水管网提供</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szCs w:val="21"/>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1325" w:type="dxa"/>
            <w:noWrap w:val="0"/>
            <w:vAlign w:val="center"/>
          </w:tcPr>
          <w:p>
            <w:pPr>
              <w:keepNext w:val="0"/>
              <w:keepLines w:val="0"/>
              <w:suppressLineNumbers w:val="0"/>
              <w:spacing w:before="0" w:beforeAutospacing="0" w:after="0" w:afterAutospacing="0" w:line="360" w:lineRule="exact"/>
              <w:ind w:left="0" w:right="0"/>
              <w:jc w:val="center"/>
              <w:rPr>
                <w:rFonts w:hint="default"/>
                <w:color w:val="000000"/>
              </w:rPr>
            </w:pPr>
            <w:r>
              <w:rPr>
                <w:rFonts w:hint="default"/>
                <w:color w:val="000000"/>
                <w:szCs w:val="21"/>
              </w:rPr>
              <w:t>供电</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szCs w:val="21"/>
              </w:rPr>
              <w:t>由</w:t>
            </w:r>
            <w:r>
              <w:rPr>
                <w:rFonts w:hint="default"/>
                <w:color w:val="000000"/>
                <w:szCs w:val="21"/>
                <w:lang w:eastAsia="zh-CN"/>
              </w:rPr>
              <w:t>沧州市新华区</w:t>
            </w:r>
            <w:r>
              <w:rPr>
                <w:rFonts w:hint="default"/>
                <w:color w:val="000000"/>
                <w:szCs w:val="21"/>
              </w:rPr>
              <w:t>供电系统提供</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szCs w:val="21"/>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1325" w:type="dxa"/>
            <w:noWrap w:val="0"/>
            <w:vAlign w:val="center"/>
          </w:tcPr>
          <w:p>
            <w:pPr>
              <w:keepNext w:val="0"/>
              <w:keepLines w:val="0"/>
              <w:suppressLineNumbers w:val="0"/>
              <w:adjustRightInd w:val="0"/>
              <w:snapToGrid w:val="0"/>
              <w:spacing w:before="0" w:beforeAutospacing="0" w:after="0" w:afterAutospacing="0" w:line="360" w:lineRule="exact"/>
              <w:ind w:left="0" w:right="-28"/>
              <w:jc w:val="center"/>
              <w:rPr>
                <w:rFonts w:hint="default"/>
                <w:color w:val="000000"/>
              </w:rPr>
            </w:pPr>
            <w:r>
              <w:rPr>
                <w:rFonts w:hint="default"/>
                <w:bCs/>
                <w:color w:val="000000"/>
                <w:szCs w:val="21"/>
              </w:rPr>
              <w:t>供热</w:t>
            </w:r>
          </w:p>
        </w:tc>
        <w:tc>
          <w:tcPr>
            <w:tcW w:w="4563" w:type="dxa"/>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szCs w:val="21"/>
              </w:rPr>
              <w:t>项目生产采用电加热，冬季采用空调供暖</w:t>
            </w:r>
          </w:p>
        </w:tc>
        <w:tc>
          <w:tcPr>
            <w:tcW w:w="1391" w:type="dxa"/>
            <w:noWrap w:val="0"/>
            <w:vAlign w:val="center"/>
          </w:tcPr>
          <w:p>
            <w:pPr>
              <w:keepNext w:val="0"/>
              <w:keepLines w:val="0"/>
              <w:suppressLineNumbers w:val="0"/>
              <w:snapToGrid w:val="0"/>
              <w:spacing w:before="0" w:beforeAutospacing="0" w:after="0" w:afterAutospacing="0" w:line="360" w:lineRule="exact"/>
              <w:ind w:left="0" w:right="0" w:firstLine="0" w:firstLineChars="0"/>
              <w:jc w:val="center"/>
              <w:rPr>
                <w:rFonts w:hint="default"/>
                <w:color w:val="000000"/>
                <w:szCs w:val="21"/>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1325" w:type="dxa"/>
            <w:noWrap w:val="0"/>
            <w:vAlign w:val="center"/>
          </w:tcPr>
          <w:p>
            <w:pPr>
              <w:keepNext w:val="0"/>
              <w:keepLines w:val="0"/>
              <w:suppressLineNumbers w:val="0"/>
              <w:adjustRightInd w:val="0"/>
              <w:snapToGrid w:val="0"/>
              <w:spacing w:before="0" w:beforeAutospacing="0" w:after="0" w:afterAutospacing="0" w:line="360" w:lineRule="exact"/>
              <w:ind w:left="0" w:right="-28"/>
              <w:jc w:val="center"/>
              <w:rPr>
                <w:rFonts w:hint="default"/>
                <w:bCs/>
                <w:color w:val="000000"/>
                <w:szCs w:val="21"/>
              </w:rPr>
            </w:pPr>
            <w:r>
              <w:rPr>
                <w:rFonts w:hint="eastAsia"/>
                <w:bCs/>
                <w:color w:val="000000"/>
                <w:szCs w:val="21"/>
              </w:rPr>
              <w:t>雨水</w:t>
            </w:r>
          </w:p>
        </w:tc>
        <w:tc>
          <w:tcPr>
            <w:tcW w:w="4563" w:type="dxa"/>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雨污分流制，雨水经雨水管网收集后排入市政雨水管网；污水进市政污水管网，送至</w:t>
            </w:r>
            <w:r>
              <w:rPr>
                <w:rFonts w:hint="eastAsia"/>
                <w:lang w:eastAsia="zh-CN"/>
              </w:rPr>
              <w:t>沧州市运东</w:t>
            </w:r>
            <w:r>
              <w:rPr>
                <w:rFonts w:hint="eastAsia"/>
              </w:rPr>
              <w:t>污水处理厂处理后达标排放。</w:t>
            </w:r>
          </w:p>
        </w:tc>
        <w:tc>
          <w:tcPr>
            <w:tcW w:w="1391" w:type="dxa"/>
            <w:noWrap w:val="0"/>
            <w:vAlign w:val="center"/>
          </w:tcPr>
          <w:p>
            <w:pPr>
              <w:keepNext w:val="0"/>
              <w:keepLines w:val="0"/>
              <w:suppressLineNumbers w:val="0"/>
              <w:spacing w:before="0" w:beforeAutospacing="0" w:after="0" w:afterAutospacing="0"/>
              <w:ind w:left="0" w:right="0"/>
              <w:jc w:val="center"/>
              <w:rPr>
                <w:rFonts w:hint="eastAsia"/>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4</w:t>
            </w:r>
          </w:p>
        </w:tc>
        <w:tc>
          <w:tcPr>
            <w:tcW w:w="625" w:type="dxa"/>
            <w:vMerge w:val="restart"/>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r>
              <w:rPr>
                <w:rFonts w:hint="default"/>
                <w:color w:val="000000"/>
              </w:rPr>
              <w:t>环保工程</w:t>
            </w:r>
          </w:p>
        </w:tc>
        <w:tc>
          <w:tcPr>
            <w:tcW w:w="1325" w:type="dxa"/>
            <w:vMerge w:val="restart"/>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r>
              <w:rPr>
                <w:rFonts w:hint="default"/>
                <w:color w:val="000000"/>
              </w:rPr>
              <w:t>废气</w:t>
            </w:r>
          </w:p>
        </w:tc>
        <w:tc>
          <w:tcPr>
            <w:tcW w:w="4563" w:type="dxa"/>
            <w:noWrap w:val="0"/>
            <w:vAlign w:val="center"/>
          </w:tcPr>
          <w:p>
            <w:pPr>
              <w:keepNext w:val="0"/>
              <w:keepLines w:val="0"/>
              <w:widowControl/>
              <w:suppressLineNumbers w:val="0"/>
              <w:spacing w:before="0" w:beforeAutospacing="0" w:after="0" w:afterAutospacing="0"/>
              <w:ind w:left="0" w:right="0"/>
              <w:jc w:val="center"/>
              <w:rPr>
                <w:rFonts w:hint="default"/>
                <w:color w:val="000000"/>
              </w:rPr>
            </w:pPr>
            <w:r>
              <w:rPr>
                <w:rFonts w:hint="default"/>
                <w:color w:val="000000"/>
                <w:kern w:val="0"/>
                <w:szCs w:val="21"/>
                <w:lang w:bidi="ar"/>
              </w:rPr>
              <w:t>打磨废气经自带吸尘设备收集后无组织排放</w:t>
            </w:r>
          </w:p>
        </w:tc>
        <w:tc>
          <w:tcPr>
            <w:tcW w:w="1391" w:type="dxa"/>
            <w:noWrap w:val="0"/>
            <w:vAlign w:val="center"/>
          </w:tcPr>
          <w:p>
            <w:pPr>
              <w:keepNext w:val="0"/>
              <w:keepLines w:val="0"/>
              <w:widowControl/>
              <w:suppressLineNumbers w:val="0"/>
              <w:spacing w:before="0" w:beforeAutospacing="0" w:after="0" w:afterAutospacing="0"/>
              <w:ind w:left="0" w:right="0"/>
              <w:jc w:val="center"/>
              <w:rPr>
                <w:rFonts w:hint="default"/>
                <w:color w:val="000000"/>
                <w:kern w:val="0"/>
                <w:szCs w:val="21"/>
                <w:lang w:bidi="ar"/>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625"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1325" w:type="dxa"/>
            <w:vMerge w:val="continue"/>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p>
        </w:tc>
        <w:tc>
          <w:tcPr>
            <w:tcW w:w="4563" w:type="dxa"/>
            <w:noWrap w:val="0"/>
            <w:vAlign w:val="center"/>
          </w:tcPr>
          <w:p>
            <w:pPr>
              <w:keepNext w:val="0"/>
              <w:keepLines w:val="0"/>
              <w:widowControl/>
              <w:suppressLineNumbers w:val="0"/>
              <w:spacing w:before="0" w:beforeAutospacing="0" w:after="0" w:afterAutospacing="0"/>
              <w:ind w:left="0" w:right="0"/>
              <w:jc w:val="center"/>
              <w:rPr>
                <w:rFonts w:hint="eastAsia"/>
                <w:color w:val="000000"/>
              </w:rPr>
            </w:pPr>
            <w:r>
              <w:rPr>
                <w:rFonts w:hint="default"/>
                <w:color w:val="000000"/>
                <w:kern w:val="0"/>
                <w:szCs w:val="21"/>
                <w:lang w:bidi="ar"/>
              </w:rPr>
              <w:t>焊接烟气采用焊烟净化器处理后无组织排放</w:t>
            </w:r>
          </w:p>
        </w:tc>
        <w:tc>
          <w:tcPr>
            <w:tcW w:w="1391" w:type="dxa"/>
            <w:noWrap w:val="0"/>
            <w:vAlign w:val="center"/>
          </w:tcPr>
          <w:p>
            <w:pPr>
              <w:keepNext w:val="0"/>
              <w:keepLines w:val="0"/>
              <w:widowControl/>
              <w:suppressLineNumbers w:val="0"/>
              <w:spacing w:before="0" w:beforeAutospacing="0" w:after="0" w:afterAutospacing="0"/>
              <w:ind w:left="0" w:right="0"/>
              <w:jc w:val="center"/>
              <w:rPr>
                <w:rFonts w:hint="default"/>
                <w:color w:val="000000"/>
                <w:kern w:val="0"/>
                <w:szCs w:val="21"/>
                <w:lang w:bidi="ar"/>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625"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1325" w:type="dxa"/>
            <w:vMerge w:val="continue"/>
            <w:tcBorders>
              <w:bottom w:val="single" w:color="auto" w:sz="4" w:space="0"/>
            </w:tcBorders>
            <w:noWrap w:val="0"/>
            <w:vAlign w:val="center"/>
          </w:tcPr>
          <w:p>
            <w:pPr>
              <w:pStyle w:val="20"/>
              <w:keepNext w:val="0"/>
              <w:keepLines w:val="0"/>
              <w:suppressLineNumbers w:val="0"/>
              <w:snapToGrid w:val="0"/>
              <w:spacing w:before="0" w:beforeAutospacing="0" w:after="0" w:afterAutospacing="0" w:line="360" w:lineRule="exact"/>
              <w:ind w:left="0" w:right="0" w:firstLine="0" w:firstLineChars="0"/>
              <w:jc w:val="center"/>
              <w:rPr>
                <w:rFonts w:hint="default"/>
                <w:color w:val="000000"/>
              </w:rPr>
            </w:pPr>
          </w:p>
        </w:tc>
        <w:tc>
          <w:tcPr>
            <w:tcW w:w="4563" w:type="dxa"/>
            <w:noWrap w:val="0"/>
            <w:vAlign w:val="center"/>
          </w:tcPr>
          <w:p>
            <w:pPr>
              <w:keepNext w:val="0"/>
              <w:keepLines w:val="0"/>
              <w:widowControl/>
              <w:suppressLineNumbers w:val="0"/>
              <w:spacing w:before="0" w:beforeAutospacing="0" w:after="0" w:afterAutospacing="0"/>
              <w:ind w:left="0" w:right="0"/>
              <w:jc w:val="center"/>
              <w:rPr>
                <w:rFonts w:hint="default"/>
                <w:color w:val="000000"/>
              </w:rPr>
            </w:pPr>
            <w:r>
              <w:rPr>
                <w:rFonts w:hint="eastAsia"/>
                <w:color w:val="000000"/>
              </w:rPr>
              <w:t>调漆、</w:t>
            </w:r>
            <w:r>
              <w:rPr>
                <w:rFonts w:hint="default"/>
                <w:color w:val="000000"/>
              </w:rPr>
              <w:t>喷漆</w:t>
            </w:r>
            <w:r>
              <w:rPr>
                <w:rFonts w:hint="eastAsia"/>
                <w:color w:val="000000"/>
              </w:rPr>
              <w:t>和烤漆</w:t>
            </w:r>
            <w:r>
              <w:rPr>
                <w:rFonts w:hint="default"/>
                <w:color w:val="000000"/>
              </w:rPr>
              <w:t>工序废气经“微负压收集+过滤棉+UV光氧净化装置+活性炭吸附装置”处理后，经15m高排气筒排放，</w:t>
            </w:r>
          </w:p>
        </w:tc>
        <w:tc>
          <w:tcPr>
            <w:tcW w:w="1391" w:type="dxa"/>
            <w:noWrap w:val="0"/>
            <w:vAlign w:val="center"/>
          </w:tcPr>
          <w:p>
            <w:pPr>
              <w:keepNext w:val="0"/>
              <w:keepLines w:val="0"/>
              <w:widowControl/>
              <w:suppressLineNumbers w:val="0"/>
              <w:spacing w:before="0" w:beforeAutospacing="0" w:after="0" w:afterAutospacing="0"/>
              <w:ind w:left="0" w:right="0"/>
              <w:jc w:val="center"/>
              <w:rPr>
                <w:rFonts w:hint="eastAsia"/>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625" w:type="dxa"/>
            <w:vMerge w:val="continue"/>
            <w:noWrap w:val="0"/>
            <w:vAlign w:val="center"/>
          </w:tcPr>
          <w:p>
            <w:pPr>
              <w:pStyle w:val="20"/>
              <w:keepNext w:val="0"/>
              <w:keepLines w:val="0"/>
              <w:suppressLineNumbers w:val="0"/>
              <w:spacing w:before="0" w:beforeAutospacing="0" w:after="0" w:afterAutospacing="0" w:line="360" w:lineRule="exact"/>
              <w:ind w:left="0" w:right="0" w:firstLine="0" w:firstLineChars="0"/>
              <w:jc w:val="center"/>
              <w:rPr>
                <w:rFonts w:hint="default"/>
                <w:color w:val="000000"/>
              </w:rPr>
            </w:pPr>
          </w:p>
        </w:tc>
        <w:tc>
          <w:tcPr>
            <w:tcW w:w="1325" w:type="dxa"/>
            <w:tcBorders>
              <w:top w:val="single" w:color="auto" w:sz="4" w:space="0"/>
            </w:tcBorders>
            <w:noWrap w:val="0"/>
            <w:vAlign w:val="center"/>
          </w:tcPr>
          <w:p>
            <w:pPr>
              <w:keepNext w:val="0"/>
              <w:keepLines w:val="0"/>
              <w:suppressLineNumbers w:val="0"/>
              <w:spacing w:before="0" w:beforeAutospacing="0" w:after="0" w:afterAutospacing="0" w:line="360" w:lineRule="exact"/>
              <w:ind w:left="0" w:right="0"/>
              <w:jc w:val="center"/>
              <w:rPr>
                <w:rFonts w:hint="default"/>
                <w:color w:val="000000"/>
                <w:szCs w:val="21"/>
              </w:rPr>
            </w:pPr>
            <w:r>
              <w:rPr>
                <w:rFonts w:hint="eastAsia"/>
                <w:color w:val="000000"/>
                <w:szCs w:val="21"/>
              </w:rPr>
              <w:t>废水</w:t>
            </w:r>
          </w:p>
        </w:tc>
        <w:tc>
          <w:tcPr>
            <w:tcW w:w="4563" w:type="dxa"/>
            <w:noWrap w:val="0"/>
            <w:vAlign w:val="center"/>
          </w:tcPr>
          <w:p>
            <w:pPr>
              <w:pStyle w:val="20"/>
              <w:keepNext w:val="0"/>
              <w:keepLines w:val="0"/>
              <w:suppressLineNumbers w:val="0"/>
              <w:snapToGrid w:val="0"/>
              <w:spacing w:before="0" w:beforeAutospacing="0" w:after="0" w:afterAutospacing="0"/>
              <w:ind w:left="0" w:right="0" w:firstLine="210"/>
              <w:jc w:val="center"/>
              <w:rPr>
                <w:rFonts w:hint="eastAsia"/>
                <w:color w:val="000000"/>
                <w:lang w:eastAsia="zh-CN"/>
              </w:rPr>
            </w:pPr>
            <w:r>
              <w:rPr>
                <w:rFonts w:hint="eastAsia"/>
                <w:color w:val="000000"/>
                <w:lang w:eastAsia="zh-CN"/>
              </w:rPr>
              <w:t>以上废水经预处理后进入厂区污水总排扣，经市政管网送至运东污水处理厂进行处理</w:t>
            </w:r>
          </w:p>
        </w:tc>
        <w:tc>
          <w:tcPr>
            <w:tcW w:w="1391" w:type="dxa"/>
            <w:noWrap w:val="0"/>
            <w:vAlign w:val="center"/>
          </w:tcPr>
          <w:p>
            <w:pPr>
              <w:keepNext w:val="0"/>
              <w:keepLines w:val="0"/>
              <w:suppressLineNumbers w:val="0"/>
              <w:snapToGrid w:val="0"/>
              <w:spacing w:before="0" w:beforeAutospacing="0" w:after="0" w:afterAutospacing="0"/>
              <w:ind w:left="0" w:right="0"/>
              <w:jc w:val="center"/>
              <w:rPr>
                <w:rFonts w:hint="eastAsia"/>
                <w:color w:val="000000"/>
                <w:lang w:eastAsia="zh-CN"/>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1325" w:type="dxa"/>
            <w:noWrap w:val="0"/>
            <w:vAlign w:val="center"/>
          </w:tcPr>
          <w:p>
            <w:pPr>
              <w:keepNext w:val="0"/>
              <w:keepLines w:val="0"/>
              <w:suppressLineNumbers w:val="0"/>
              <w:spacing w:before="0" w:beforeAutospacing="0" w:after="0" w:afterAutospacing="0" w:line="360" w:lineRule="exact"/>
              <w:ind w:left="0" w:right="0"/>
              <w:jc w:val="center"/>
              <w:rPr>
                <w:rFonts w:hint="default"/>
                <w:color w:val="000000"/>
              </w:rPr>
            </w:pPr>
            <w:r>
              <w:rPr>
                <w:rFonts w:hint="default"/>
                <w:color w:val="000000"/>
                <w:szCs w:val="21"/>
              </w:rPr>
              <w:t>噪声</w:t>
            </w:r>
          </w:p>
        </w:tc>
        <w:tc>
          <w:tcPr>
            <w:tcW w:w="4563" w:type="dxa"/>
            <w:noWrap w:val="0"/>
            <w:vAlign w:val="center"/>
          </w:tcPr>
          <w:p>
            <w:pPr>
              <w:pStyle w:val="20"/>
              <w:keepNext w:val="0"/>
              <w:keepLines w:val="0"/>
              <w:suppressLineNumbers w:val="0"/>
              <w:snapToGrid w:val="0"/>
              <w:spacing w:before="0" w:beforeAutospacing="0" w:after="0" w:afterAutospacing="0"/>
              <w:ind w:left="0" w:right="0" w:firstLine="0" w:firstLineChars="0"/>
              <w:jc w:val="center"/>
              <w:rPr>
                <w:rFonts w:hint="default"/>
                <w:color w:val="000000"/>
              </w:rPr>
            </w:pPr>
            <w:r>
              <w:rPr>
                <w:rFonts w:hint="default"/>
                <w:color w:val="000000"/>
              </w:rPr>
              <w:t>基础减震、厂房隔声</w:t>
            </w:r>
          </w:p>
        </w:tc>
        <w:tc>
          <w:tcPr>
            <w:tcW w:w="1391" w:type="dxa"/>
            <w:noWrap w:val="0"/>
            <w:vAlign w:val="center"/>
          </w:tcPr>
          <w:p>
            <w:pPr>
              <w:keepNext w:val="0"/>
              <w:keepLines w:val="0"/>
              <w:suppressLineNumbers w:val="0"/>
              <w:snapToGrid w:val="0"/>
              <w:spacing w:before="0" w:beforeAutospacing="0" w:after="0" w:afterAutospacing="0"/>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r>
        <w:tblPrEx>
          <w:tblBorders>
            <w:top w:val="single" w:color="auto" w:sz="6" w:space="0"/>
            <w:left w:val="single" w:color="auto" w:sz="4" w:space="0"/>
            <w:bottom w:val="single" w:color="auto" w:sz="6"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07"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625" w:type="dxa"/>
            <w:vMerge w:val="continue"/>
            <w:noWrap w:val="0"/>
            <w:vAlign w:val="center"/>
          </w:tcPr>
          <w:p>
            <w:pPr>
              <w:keepNext w:val="0"/>
              <w:keepLines w:val="0"/>
              <w:widowControl/>
              <w:suppressLineNumbers w:val="0"/>
              <w:spacing w:before="0" w:beforeAutospacing="0" w:after="0" w:afterAutospacing="0"/>
              <w:ind w:left="0" w:right="0"/>
              <w:jc w:val="center"/>
              <w:rPr>
                <w:rFonts w:hint="default"/>
                <w:color w:val="000000"/>
                <w:szCs w:val="24"/>
              </w:rPr>
            </w:pPr>
          </w:p>
        </w:tc>
        <w:tc>
          <w:tcPr>
            <w:tcW w:w="1325" w:type="dxa"/>
            <w:noWrap w:val="0"/>
            <w:vAlign w:val="center"/>
          </w:tcPr>
          <w:p>
            <w:pPr>
              <w:keepNext w:val="0"/>
              <w:keepLines w:val="0"/>
              <w:suppressLineNumbers w:val="0"/>
              <w:spacing w:before="0" w:beforeAutospacing="0" w:after="0" w:afterAutospacing="0" w:line="360" w:lineRule="exact"/>
              <w:ind w:left="0" w:right="0"/>
              <w:jc w:val="center"/>
              <w:rPr>
                <w:rFonts w:hint="default"/>
                <w:color w:val="000000"/>
              </w:rPr>
            </w:pPr>
            <w:r>
              <w:rPr>
                <w:rFonts w:hint="default"/>
                <w:color w:val="000000"/>
                <w:szCs w:val="21"/>
              </w:rPr>
              <w:t>固废</w:t>
            </w:r>
          </w:p>
        </w:tc>
        <w:tc>
          <w:tcPr>
            <w:tcW w:w="4563" w:type="dxa"/>
            <w:noWrap w:val="0"/>
            <w:vAlign w:val="center"/>
          </w:tcPr>
          <w:p>
            <w:pPr>
              <w:pStyle w:val="20"/>
              <w:keepNext w:val="0"/>
              <w:keepLines w:val="0"/>
              <w:suppressLineNumbers w:val="0"/>
              <w:snapToGrid w:val="0"/>
              <w:spacing w:before="0" w:beforeAutospacing="0" w:after="0" w:afterAutospacing="0"/>
              <w:ind w:left="0" w:right="0" w:firstLine="0" w:firstLineChars="0"/>
              <w:jc w:val="center"/>
              <w:rPr>
                <w:rFonts w:hint="default"/>
                <w:color w:val="000000"/>
                <w:lang w:eastAsia="zh-CN"/>
              </w:rPr>
            </w:pPr>
            <w:r>
              <w:rPr>
                <w:rFonts w:hint="default"/>
                <w:color w:val="000000"/>
              </w:rPr>
              <w:t>项目产生的废零部件、焊渣</w:t>
            </w:r>
            <w:r>
              <w:rPr>
                <w:rFonts w:hint="eastAsia"/>
                <w:color w:val="000000"/>
                <w:lang w:eastAsia="zh-CN"/>
              </w:rPr>
              <w:t>、废旧金属和废砂纸</w:t>
            </w:r>
            <w:r>
              <w:rPr>
                <w:rFonts w:hint="default"/>
                <w:color w:val="000000"/>
              </w:rPr>
              <w:t>经收集后统一外售；漆渣、废油漆桶、废过滤棉</w:t>
            </w:r>
            <w:r>
              <w:rPr>
                <w:rFonts w:hint="eastAsia"/>
                <w:color w:val="000000"/>
              </w:rPr>
              <w:t>、废遮蔽纸</w:t>
            </w:r>
            <w:r>
              <w:rPr>
                <w:rFonts w:hint="eastAsia"/>
                <w:color w:val="000000"/>
                <w:lang w:eastAsia="zh-CN"/>
              </w:rPr>
              <w:t>、</w:t>
            </w:r>
            <w:r>
              <w:rPr>
                <w:rFonts w:hint="default"/>
                <w:color w:val="000000"/>
              </w:rPr>
              <w:t>废活性炭、废机滤、废机油、废机油桶暂存于厂区危废间，定期交有资质的单位处理。</w:t>
            </w:r>
            <w:r>
              <w:rPr>
                <w:rFonts w:hint="default"/>
                <w:color w:val="000000"/>
                <w:lang w:eastAsia="zh-CN"/>
              </w:rPr>
              <w:t>办公生活垃圾经由环卫部门定期清运</w:t>
            </w:r>
          </w:p>
        </w:tc>
        <w:tc>
          <w:tcPr>
            <w:tcW w:w="1391" w:type="dxa"/>
            <w:noWrap w:val="0"/>
            <w:vAlign w:val="center"/>
          </w:tcPr>
          <w:p>
            <w:pPr>
              <w:keepNext w:val="0"/>
              <w:keepLines w:val="0"/>
              <w:suppressLineNumbers w:val="0"/>
              <w:snapToGrid w:val="0"/>
              <w:spacing w:before="0" w:beforeAutospacing="0" w:after="0" w:afterAutospacing="0"/>
              <w:ind w:left="0" w:right="0" w:firstLine="0" w:firstLineChars="0"/>
              <w:jc w:val="center"/>
              <w:rPr>
                <w:rFonts w:hint="default"/>
                <w:color w:val="000000"/>
              </w:rPr>
            </w:pPr>
            <w:r>
              <w:rPr>
                <w:rFonts w:hint="default" w:ascii="Times New Roman" w:hAnsi="Times New Roman" w:cs="Times New Roman"/>
                <w:sz w:val="21"/>
                <w:szCs w:val="21"/>
                <w:lang w:val="en-US" w:eastAsia="zh-CN"/>
              </w:rPr>
              <w:t>与环评一致</w:t>
            </w:r>
          </w:p>
        </w:tc>
      </w:tr>
    </w:tbl>
    <w:p>
      <w:pPr>
        <w:pStyle w:val="5"/>
        <w:rPr>
          <w:rFonts w:hint="default" w:ascii="Times New Roman" w:hAnsi="Times New Roman" w:eastAsia="宋体" w:cs="Times New Roman"/>
        </w:rPr>
      </w:pPr>
      <w:bookmarkStart w:id="78" w:name="_Toc497001443"/>
      <w:bookmarkStart w:id="79" w:name="_Toc30584"/>
      <w:bookmarkStart w:id="80" w:name="_Toc1691"/>
      <w:bookmarkStart w:id="81" w:name="_Toc496979007"/>
      <w:bookmarkStart w:id="82" w:name="_Toc17854"/>
      <w:bookmarkStart w:id="83" w:name="_Toc28959"/>
      <w:r>
        <w:rPr>
          <w:rFonts w:hint="default" w:ascii="Times New Roman" w:hAnsi="Times New Roman" w:eastAsia="宋体" w:cs="Times New Roman"/>
        </w:rPr>
        <w:t>2.2.4 生产设备</w:t>
      </w:r>
      <w:bookmarkEnd w:id="78"/>
      <w:bookmarkEnd w:id="79"/>
      <w:bookmarkEnd w:id="80"/>
      <w:bookmarkEnd w:id="81"/>
      <w:bookmarkEnd w:id="82"/>
      <w:bookmarkEnd w:id="83"/>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default"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atLeast"/>
        <w:jc w:val="center"/>
        <w:textAlignment w:val="auto"/>
        <w:rPr>
          <w:rFonts w:hint="default" w:ascii="Times New Roman" w:hAnsi="Times New Roman" w:eastAsia="宋体" w:cs="Times New Roman"/>
          <w:b/>
          <w:sz w:val="24"/>
          <w:szCs w:val="24"/>
          <w:highlight w:val="none"/>
        </w:rPr>
      </w:pPr>
      <w:r>
        <w:rPr>
          <w:rFonts w:hint="default" w:ascii="Times New Roman" w:hAnsi="Times New Roman" w:eastAsia="宋体" w:cs="Times New Roman"/>
          <w:b/>
          <w:sz w:val="24"/>
          <w:szCs w:val="24"/>
          <w:highlight w:val="none"/>
        </w:rPr>
        <w:t>表2-</w:t>
      </w:r>
      <w:r>
        <w:rPr>
          <w:rFonts w:hint="eastAsia" w:ascii="Times New Roman" w:hAnsi="Times New Roman" w:cs="Times New Roman"/>
          <w:b/>
          <w:sz w:val="24"/>
          <w:szCs w:val="24"/>
          <w:highlight w:val="none"/>
          <w:lang w:val="en-US" w:eastAsia="zh-CN"/>
        </w:rPr>
        <w:t>4</w:t>
      </w:r>
      <w:r>
        <w:rPr>
          <w:rFonts w:hint="default" w:ascii="Times New Roman" w:hAnsi="Times New Roman" w:eastAsia="宋体" w:cs="Times New Roman"/>
          <w:b/>
          <w:sz w:val="24"/>
          <w:szCs w:val="24"/>
          <w:highlight w:val="none"/>
        </w:rPr>
        <w:t xml:space="preserve">  </w:t>
      </w:r>
      <w:r>
        <w:rPr>
          <w:rFonts w:hint="default" w:ascii="Times New Roman" w:hAnsi="Times New Roman" w:eastAsia="宋体" w:cs="Times New Roman"/>
          <w:b/>
          <w:sz w:val="24"/>
          <w:szCs w:val="24"/>
          <w:highlight w:val="none"/>
          <w:lang w:eastAsia="zh-CN"/>
        </w:rPr>
        <w:t>主要</w:t>
      </w:r>
      <w:r>
        <w:rPr>
          <w:rFonts w:hint="default" w:ascii="Times New Roman" w:hAnsi="Times New Roman" w:eastAsia="宋体" w:cs="Times New Roman"/>
          <w:b/>
          <w:sz w:val="24"/>
          <w:szCs w:val="24"/>
          <w:highlight w:val="none"/>
        </w:rPr>
        <w:t>设备一览表</w:t>
      </w:r>
    </w:p>
    <w:tbl>
      <w:tblPr>
        <w:tblStyle w:val="22"/>
        <w:tblW w:w="5225" w:type="pct"/>
        <w:tblInd w:w="-198" w:type="dxa"/>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Layout w:type="autofit"/>
        <w:tblCellMar>
          <w:top w:w="0" w:type="dxa"/>
          <w:left w:w="0" w:type="dxa"/>
          <w:bottom w:w="0" w:type="dxa"/>
          <w:right w:w="0" w:type="dxa"/>
        </w:tblCellMar>
      </w:tblPr>
      <w:tblGrid>
        <w:gridCol w:w="2455"/>
        <w:gridCol w:w="2432"/>
        <w:gridCol w:w="1285"/>
        <w:gridCol w:w="1193"/>
        <w:gridCol w:w="1325"/>
      </w:tblGrid>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default"/>
              </w:rPr>
              <w:t>设备名称</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default"/>
              </w:rPr>
              <w:t>规格型号</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eastAsia"/>
                <w:lang w:eastAsia="zh-CN"/>
              </w:rPr>
            </w:pPr>
            <w:r>
              <w:rPr>
                <w:rFonts w:hint="eastAsia"/>
                <w:lang w:eastAsia="zh-CN"/>
              </w:rPr>
              <w:t>单位</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default"/>
              </w:rPr>
              <w:t>数量</w:t>
            </w:r>
          </w:p>
        </w:tc>
        <w:tc>
          <w:tcPr>
            <w:tcW w:w="762" w:type="pct"/>
            <w:noWrap w:val="0"/>
            <w:vAlign w:val="center"/>
          </w:tcPr>
          <w:p>
            <w:pPr>
              <w:pStyle w:val="66"/>
              <w:keepNext w:val="0"/>
              <w:keepLines w:val="0"/>
              <w:suppressLineNumbers w:val="0"/>
              <w:spacing w:before="0" w:beforeAutospacing="0" w:after="0" w:afterAutospacing="0"/>
              <w:ind w:left="0" w:right="0"/>
              <w:jc w:val="center"/>
              <w:rPr>
                <w:rFonts w:hint="eastAsia" w:eastAsia="宋体"/>
                <w:lang w:eastAsia="zh-CN"/>
              </w:rPr>
            </w:pPr>
            <w:r>
              <w:rPr>
                <w:rFonts w:hint="eastAsia"/>
                <w:lang w:eastAsia="zh-CN"/>
              </w:rPr>
              <w:t>实际情况</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四轮定位仪</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美国蓝点</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eastAsia"/>
                <w:lang w:eastAsia="zh-CN"/>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扒胎机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U-226</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车身校正仪</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CRE-6</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干磨机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AMG-V5</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普通举升机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DG-2-30C</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3</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大剪举升机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DG-35-2D</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小剪举升机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DG-2-35J</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喷枪</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W-71</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2</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红外线烤灯</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OL-2000W</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2</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空气压缩机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HW15012</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bl>
    <w:p>
      <w:pPr>
        <w:rPr>
          <w:rFonts w:hint="eastAsia" w:eastAsia="宋体"/>
          <w:lang w:eastAsia="zh-CN"/>
        </w:rPr>
      </w:pPr>
      <w:r>
        <w:rPr>
          <w:rFonts w:hint="eastAsia"/>
          <w:lang w:eastAsia="zh-CN"/>
        </w:rPr>
        <w:t>续上表</w:t>
      </w:r>
    </w:p>
    <w:tbl>
      <w:tblPr>
        <w:tblStyle w:val="22"/>
        <w:tblW w:w="5225" w:type="pct"/>
        <w:tblInd w:w="-198" w:type="dxa"/>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Layout w:type="autofit"/>
        <w:tblCellMar>
          <w:top w:w="0" w:type="dxa"/>
          <w:left w:w="0" w:type="dxa"/>
          <w:bottom w:w="0" w:type="dxa"/>
          <w:right w:w="0" w:type="dxa"/>
        </w:tblCellMar>
      </w:tblPr>
      <w:tblGrid>
        <w:gridCol w:w="2455"/>
        <w:gridCol w:w="2432"/>
        <w:gridCol w:w="1285"/>
        <w:gridCol w:w="1193"/>
        <w:gridCol w:w="1325"/>
      </w:tblGrid>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2452" w:type="dxa"/>
            <w:noWrap w:val="0"/>
            <w:vAlign w:val="center"/>
          </w:tcPr>
          <w:p>
            <w:pPr>
              <w:pStyle w:val="66"/>
              <w:keepNext w:val="0"/>
              <w:keepLines w:val="0"/>
              <w:suppressLineNumbers w:val="0"/>
              <w:spacing w:before="0" w:beforeAutospacing="0" w:after="0" w:afterAutospacing="0"/>
              <w:ind w:left="0" w:right="0"/>
              <w:jc w:val="center"/>
              <w:rPr>
                <w:rFonts w:hint="eastAsia"/>
                <w:lang w:val="en-US"/>
              </w:rPr>
            </w:pPr>
            <w:r>
              <w:rPr>
                <w:rFonts w:hint="default"/>
              </w:rPr>
              <w:t>设备名称</w:t>
            </w:r>
          </w:p>
        </w:tc>
        <w:tc>
          <w:tcPr>
            <w:tcW w:w="2430" w:type="dxa"/>
            <w:noWrap w:val="0"/>
            <w:vAlign w:val="center"/>
          </w:tcPr>
          <w:p>
            <w:pPr>
              <w:pStyle w:val="66"/>
              <w:keepNext w:val="0"/>
              <w:keepLines w:val="0"/>
              <w:suppressLineNumbers w:val="0"/>
              <w:spacing w:before="0" w:beforeAutospacing="0" w:after="0" w:afterAutospacing="0"/>
              <w:ind w:left="0" w:right="0"/>
              <w:jc w:val="center"/>
              <w:rPr>
                <w:rFonts w:hint="eastAsia"/>
                <w:lang w:val="en-US"/>
              </w:rPr>
            </w:pPr>
            <w:r>
              <w:rPr>
                <w:rFonts w:hint="default"/>
              </w:rPr>
              <w:t>规格型号</w:t>
            </w:r>
          </w:p>
        </w:tc>
        <w:tc>
          <w:tcPr>
            <w:tcW w:w="1283" w:type="dxa"/>
            <w:noWrap w:val="0"/>
            <w:vAlign w:val="center"/>
          </w:tcPr>
          <w:p>
            <w:pPr>
              <w:pStyle w:val="66"/>
              <w:keepNext w:val="0"/>
              <w:keepLines w:val="0"/>
              <w:suppressLineNumbers w:val="0"/>
              <w:spacing w:before="0" w:beforeAutospacing="0" w:after="0" w:afterAutospacing="0"/>
              <w:ind w:left="0" w:right="0"/>
              <w:jc w:val="center"/>
              <w:rPr>
                <w:rFonts w:hint="eastAsia"/>
                <w:lang w:eastAsia="zh-CN"/>
              </w:rPr>
            </w:pPr>
            <w:r>
              <w:rPr>
                <w:rFonts w:hint="eastAsia"/>
                <w:lang w:eastAsia="zh-CN"/>
              </w:rPr>
              <w:t>单位</w:t>
            </w:r>
          </w:p>
        </w:tc>
        <w:tc>
          <w:tcPr>
            <w:tcW w:w="1191" w:type="dxa"/>
            <w:noWrap w:val="0"/>
            <w:vAlign w:val="center"/>
          </w:tcPr>
          <w:p>
            <w:pPr>
              <w:pStyle w:val="66"/>
              <w:keepNext w:val="0"/>
              <w:keepLines w:val="0"/>
              <w:suppressLineNumbers w:val="0"/>
              <w:spacing w:before="0" w:beforeAutospacing="0" w:after="0" w:afterAutospacing="0"/>
              <w:ind w:left="0" w:right="0"/>
              <w:jc w:val="center"/>
              <w:rPr>
                <w:rFonts w:hint="eastAsia"/>
                <w:lang w:val="en-US"/>
              </w:rPr>
            </w:pPr>
            <w:r>
              <w:rPr>
                <w:rFonts w:hint="default"/>
              </w:rPr>
              <w:t>数量</w:t>
            </w:r>
          </w:p>
        </w:tc>
        <w:tc>
          <w:tcPr>
            <w:tcW w:w="1324" w:type="dxa"/>
            <w:noWrap w:val="0"/>
            <w:vAlign w:val="center"/>
          </w:tcPr>
          <w:p>
            <w:pPr>
              <w:pStyle w:val="66"/>
              <w:keepNext w:val="0"/>
              <w:keepLines w:val="0"/>
              <w:suppressLineNumbers w:val="0"/>
              <w:spacing w:before="0" w:beforeAutospacing="0" w:after="0" w:afterAutospacing="0"/>
              <w:ind w:left="0" w:right="0"/>
              <w:jc w:val="center"/>
              <w:rPr>
                <w:rFonts w:hint="default" w:ascii="Times New Roman" w:hAnsi="Times New Roman" w:cs="Times New Roman"/>
                <w:sz w:val="21"/>
                <w:szCs w:val="21"/>
                <w:lang w:val="en-US" w:eastAsia="zh-CN"/>
              </w:rPr>
            </w:pPr>
            <w:r>
              <w:rPr>
                <w:rFonts w:hint="eastAsia"/>
                <w:lang w:eastAsia="zh-CN"/>
              </w:rPr>
              <w:t>实际情况</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加氟机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HS-260A-0A</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变速箱油更换机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ATF-960</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2</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空调清洗机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可视化</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核桃砂清洗气门积碳机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0800</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氮气机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MS-500</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rPr>
              <w:t>汽车故障检测仪</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奥迪一台</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电脑检测仪</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431</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道通</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MS906S</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rPr>
            </w:pPr>
            <w:r>
              <w:rPr>
                <w:rFonts w:hint="eastAsia"/>
                <w:lang w:val="en-US"/>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尾气分析仪</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LPQ-2</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eastAsia="zh-CN"/>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烤漆房</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中大</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eastAsia="zh-CN"/>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整形介子机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10800</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eastAsia="zh-CN"/>
              </w:rPr>
            </w:pPr>
            <w:r>
              <w:rPr>
                <w:rFonts w:hint="default" w:ascii="Times New Roman" w:hAnsi="Times New Roman" w:cs="Times New Roman"/>
                <w:sz w:val="21"/>
                <w:szCs w:val="21"/>
                <w:lang w:val="en-US" w:eastAsia="zh-CN"/>
              </w:rPr>
              <w:t>与环评一致</w:t>
            </w:r>
          </w:p>
        </w:tc>
      </w:tr>
      <w:tr>
        <w:tblPrEx>
          <w:tblBorders>
            <w:top w:val="single" w:color="000000" w:sz="4" w:space="0"/>
            <w:left w:val="single" w:color="auto" w:sz="4" w:space="0"/>
            <w:bottom w:val="single" w:color="000000" w:sz="4" w:space="0"/>
            <w:right w:val="single" w:color="auto" w:sz="4" w:space="0"/>
            <w:insideH w:val="single" w:color="000000" w:sz="4" w:space="0"/>
            <w:insideV w:val="single" w:color="000000" w:sz="4" w:space="0"/>
          </w:tblBorders>
          <w:tblCellMar>
            <w:top w:w="0" w:type="dxa"/>
            <w:left w:w="0" w:type="dxa"/>
            <w:bottom w:w="0" w:type="dxa"/>
            <w:right w:w="0" w:type="dxa"/>
          </w:tblCellMar>
        </w:tblPrEx>
        <w:trPr>
          <w:trHeight w:val="425" w:hRule="atLeast"/>
        </w:trPr>
        <w:tc>
          <w:tcPr>
            <w:tcW w:w="1412"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刹车油更换机</w:t>
            </w:r>
          </w:p>
        </w:tc>
        <w:tc>
          <w:tcPr>
            <w:tcW w:w="1399"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JRS-9800</w:t>
            </w:r>
          </w:p>
        </w:tc>
        <w:tc>
          <w:tcPr>
            <w:tcW w:w="739" w:type="pct"/>
            <w:noWrap w:val="0"/>
            <w:vAlign w:val="center"/>
          </w:tcPr>
          <w:p>
            <w:pPr>
              <w:pStyle w:val="66"/>
              <w:keepNext w:val="0"/>
              <w:keepLines w:val="0"/>
              <w:suppressLineNumbers w:val="0"/>
              <w:spacing w:before="0" w:beforeAutospacing="0" w:after="0" w:afterAutospacing="0"/>
              <w:ind w:left="0" w:right="0"/>
              <w:jc w:val="center"/>
              <w:rPr>
                <w:rFonts w:hint="default"/>
              </w:rPr>
            </w:pPr>
            <w:r>
              <w:rPr>
                <w:rFonts w:hint="eastAsia"/>
                <w:lang w:eastAsia="zh-CN"/>
              </w:rPr>
              <w:t>台</w:t>
            </w:r>
          </w:p>
        </w:tc>
        <w:tc>
          <w:tcPr>
            <w:tcW w:w="686" w:type="pct"/>
            <w:noWrap w:val="0"/>
            <w:vAlign w:val="center"/>
          </w:tcPr>
          <w:p>
            <w:pPr>
              <w:pStyle w:val="66"/>
              <w:keepNext w:val="0"/>
              <w:keepLines w:val="0"/>
              <w:suppressLineNumbers w:val="0"/>
              <w:spacing w:before="0" w:beforeAutospacing="0" w:after="0" w:afterAutospacing="0"/>
              <w:ind w:left="0" w:right="0"/>
              <w:jc w:val="center"/>
              <w:rPr>
                <w:rFonts w:hint="default"/>
                <w:lang w:val="en-US" w:eastAsia="zh-CN"/>
              </w:rPr>
            </w:pPr>
            <w:r>
              <w:rPr>
                <w:rFonts w:hint="eastAsia"/>
                <w:lang w:val="en-US" w:eastAsia="zh-CN"/>
              </w:rPr>
              <w:t>1</w:t>
            </w:r>
          </w:p>
        </w:tc>
        <w:tc>
          <w:tcPr>
            <w:tcW w:w="762" w:type="pct"/>
            <w:noWrap w:val="0"/>
            <w:vAlign w:val="center"/>
          </w:tcPr>
          <w:p>
            <w:pPr>
              <w:keepNext w:val="0"/>
              <w:keepLines w:val="0"/>
              <w:suppressLineNumbers w:val="0"/>
              <w:spacing w:before="0" w:beforeAutospacing="0" w:after="0" w:afterAutospacing="0"/>
              <w:ind w:left="0" w:right="0"/>
              <w:jc w:val="center"/>
              <w:rPr>
                <w:rFonts w:hint="eastAsia"/>
                <w:lang w:val="en-US" w:eastAsia="zh-CN"/>
              </w:rPr>
            </w:pPr>
            <w:r>
              <w:rPr>
                <w:rFonts w:hint="default" w:ascii="Times New Roman" w:hAnsi="Times New Roman" w:cs="Times New Roman"/>
                <w:sz w:val="21"/>
                <w:szCs w:val="21"/>
                <w:lang w:val="en-US" w:eastAsia="zh-CN"/>
              </w:rPr>
              <w:t>与环评一致</w:t>
            </w:r>
          </w:p>
        </w:tc>
      </w:tr>
    </w:tbl>
    <w:p>
      <w:pPr>
        <w:pStyle w:val="4"/>
        <w:rPr>
          <w:rFonts w:hint="default" w:ascii="Times New Roman" w:hAnsi="Times New Roman" w:eastAsia="宋体" w:cs="Times New Roman"/>
          <w:color w:val="000000"/>
        </w:rPr>
      </w:pPr>
      <w:bookmarkStart w:id="84" w:name="_Toc25900"/>
      <w:bookmarkStart w:id="85" w:name="_Toc376"/>
      <w:bookmarkStart w:id="86" w:name="_Toc8794"/>
      <w:bookmarkStart w:id="87" w:name="_Toc23184"/>
      <w:r>
        <w:rPr>
          <w:rFonts w:hint="default" w:ascii="Times New Roman" w:hAnsi="Times New Roman" w:eastAsia="宋体" w:cs="Times New Roman"/>
          <w:color w:val="000000"/>
        </w:rPr>
        <w:t>2.3 工艺流程</w:t>
      </w:r>
      <w:bookmarkEnd w:id="84"/>
      <w:bookmarkEnd w:id="85"/>
      <w:bookmarkEnd w:id="86"/>
      <w:bookmarkEnd w:id="87"/>
    </w:p>
    <w:p>
      <w:pPr>
        <w:keepNext w:val="0"/>
        <w:keepLines w:val="0"/>
        <w:pageBreakBefore w:val="0"/>
        <w:widowControl w:val="0"/>
        <w:kinsoku/>
        <w:wordWrap/>
        <w:overflowPunct/>
        <w:topLinePunct w:val="0"/>
        <w:autoSpaceDE w:val="0"/>
        <w:autoSpaceDN w:val="0"/>
        <w:bidi w:val="0"/>
        <w:adjustRightInd w:val="0"/>
        <w:snapToGrid/>
        <w:spacing w:before="157" w:beforeLines="50" w:line="360" w:lineRule="auto"/>
        <w:ind w:left="0" w:leftChars="0" w:right="0" w:rightChars="0" w:firstLine="0" w:firstLineChars="0"/>
        <w:jc w:val="both"/>
        <w:textAlignment w:val="auto"/>
        <w:outlineLvl w:val="9"/>
        <w:rPr>
          <w:rFonts w:hint="default" w:ascii="Times New Roman" w:hAnsi="Times New Roman" w:eastAsia="宋体" w:cs="Times New Roman"/>
          <w:sz w:val="24"/>
          <w:szCs w:val="24"/>
          <w:highlight w:val="none"/>
          <w:lang w:eastAsia="zh-CN"/>
        </w:rPr>
      </w:pPr>
      <w:bookmarkStart w:id="88" w:name="_Toc29955"/>
      <w:bookmarkStart w:id="89" w:name="_Toc12629"/>
      <w:bookmarkStart w:id="90" w:name="_Toc12284"/>
      <w:r>
        <w:rPr>
          <w:lang w:val="en-US" w:eastAsia="zh-CN"/>
        </w:rPr>
        <w:pict>
          <v:shape id="_x0000_s2058" o:spid="_x0000_s2058" o:spt="75" type="#_x0000_t75" style="position:absolute;left:0pt;margin-left:15.1pt;margin-top:25.85pt;height:368.65pt;width:386pt;z-index:-2118649856;mso-width-relative:page;mso-height-relative:page;" o:ole="t" filled="f" o:preferrelative="t" stroked="f" coordsize="21600,21600">
            <v:path/>
            <v:fill on="f" focussize="0,0"/>
            <v:stroke on="f"/>
            <v:imagedata r:id="rId16" o:title=""/>
            <o:lock v:ext="edit" aspectratio="t"/>
          </v:shape>
          <o:OLEObject Type="Embed" ProgID="Visio.Drawing.11" ShapeID="_x0000_s2058" DrawAspect="Content" ObjectID="_1468075725" r:id="rId15">
            <o:LockedField>false</o:LockedField>
          </o:OLEObject>
        </w:pict>
      </w:r>
      <w:r>
        <w:rPr>
          <w:rFonts w:hint="default" w:ascii="Times New Roman" w:hAnsi="Times New Roman" w:eastAsia="宋体" w:cs="Times New Roman"/>
          <w:sz w:val="24"/>
          <w:szCs w:val="24"/>
          <w:highlight w:val="none"/>
          <w:lang w:eastAsia="zh-CN"/>
        </w:rPr>
        <w:t>生产工艺流程及排污节点图：</w:t>
      </w:r>
    </w:p>
    <w:p>
      <w:pPr>
        <w:pStyle w:val="21"/>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1"/>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1"/>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1"/>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
        <w:rPr>
          <w:rFonts w:hint="default" w:ascii="Times New Roman" w:hAnsi="Times New Roman" w:eastAsia="宋体" w:cs="Times New Roman"/>
          <w:sz w:val="24"/>
          <w:szCs w:val="24"/>
          <w:highlight w:val="none"/>
          <w:lang w:eastAsia="zh-CN"/>
        </w:rPr>
      </w:pPr>
    </w:p>
    <w:p>
      <w:pPr>
        <w:rPr>
          <w:rFonts w:hint="default" w:ascii="Times New Roman" w:hAnsi="Times New Roman" w:eastAsia="宋体" w:cs="Times New Roman"/>
          <w:sz w:val="24"/>
          <w:szCs w:val="24"/>
          <w:highlight w:val="none"/>
          <w:lang w:eastAsia="zh-CN"/>
        </w:rPr>
      </w:pPr>
    </w:p>
    <w:p>
      <w:pPr>
        <w:pStyle w:val="2"/>
        <w:rPr>
          <w:rFonts w:hint="default" w:ascii="Times New Roman" w:hAnsi="Times New Roman" w:eastAsia="宋体" w:cs="Times New Roman"/>
          <w:sz w:val="24"/>
          <w:szCs w:val="24"/>
          <w:highlight w:val="none"/>
          <w:lang w:eastAsia="zh-CN"/>
        </w:rPr>
      </w:pPr>
    </w:p>
    <w:p>
      <w:pPr>
        <w:rPr>
          <w:rFonts w:hint="default"/>
          <w:lang w:eastAsia="zh-CN"/>
        </w:rPr>
      </w:pPr>
    </w:p>
    <w:p>
      <w:pPr>
        <w:rPr>
          <w:rFonts w:hint="default" w:ascii="Times New Roman" w:hAnsi="Times New Roman" w:eastAsia="宋体" w:cs="Times New Roman"/>
          <w:sz w:val="24"/>
          <w:szCs w:val="24"/>
          <w:highlight w:val="none"/>
          <w:lang w:eastAsia="zh-CN"/>
        </w:rPr>
      </w:pPr>
    </w:p>
    <w:p>
      <w:pPr>
        <w:pStyle w:val="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工艺流程简述：</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bookmarkStart w:id="91" w:name="_Toc31314"/>
      <w:r>
        <w:rPr>
          <w:rFonts w:hint="default" w:ascii="Times New Roman" w:hAnsi="Times New Roman" w:eastAsia="宋体" w:cs="Times New Roman"/>
          <w:sz w:val="24"/>
          <w:szCs w:val="24"/>
          <w:lang w:val="zh-TW" w:eastAsia="zh-CN"/>
        </w:rPr>
        <w:t>（1）汽车保养</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保养车辆来场，主要为更换损坏零部件、机油、刹车油等。在该过程中会产生废机油、废刹车油、废变速箱</w:t>
      </w:r>
      <w:r>
        <w:rPr>
          <w:rFonts w:hint="eastAsia" w:ascii="Times New Roman" w:hAnsi="Times New Roman" w:cs="Times New Roman"/>
          <w:sz w:val="24"/>
          <w:szCs w:val="24"/>
          <w:lang w:val="zh-TW" w:eastAsia="zh-CN"/>
        </w:rPr>
        <w:t>油</w:t>
      </w:r>
      <w:r>
        <w:rPr>
          <w:rFonts w:hint="default" w:ascii="Times New Roman" w:hAnsi="Times New Roman" w:eastAsia="宋体" w:cs="Times New Roman"/>
          <w:sz w:val="24"/>
          <w:szCs w:val="24"/>
          <w:lang w:val="zh-TW" w:eastAsia="zh-CN"/>
        </w:rPr>
        <w:t>等废油，废油桶、废弃零部件。废油（S</w:t>
      </w:r>
      <w:r>
        <w:rPr>
          <w:rFonts w:hint="default" w:ascii="Times New Roman" w:hAnsi="Times New Roman" w:eastAsia="宋体" w:cs="Times New Roman"/>
          <w:sz w:val="24"/>
          <w:szCs w:val="24"/>
          <w:lang w:val="zh-TW" w:eastAsia="zh-TW"/>
        </w:rPr>
        <w:t>1</w:t>
      </w:r>
      <w:r>
        <w:rPr>
          <w:rFonts w:hint="default" w:ascii="Times New Roman" w:hAnsi="Times New Roman" w:eastAsia="宋体" w:cs="Times New Roman"/>
          <w:sz w:val="24"/>
          <w:szCs w:val="24"/>
          <w:lang w:val="zh-TW" w:eastAsia="zh-CN"/>
        </w:rPr>
        <w:t>）、废油桶（S</w:t>
      </w:r>
      <w:r>
        <w:rPr>
          <w:rFonts w:hint="default" w:ascii="Times New Roman" w:hAnsi="Times New Roman" w:eastAsia="宋体" w:cs="Times New Roman"/>
          <w:sz w:val="24"/>
          <w:szCs w:val="24"/>
          <w:lang w:val="zh-TW" w:eastAsia="zh-TW"/>
        </w:rPr>
        <w:t>2</w:t>
      </w:r>
      <w:r>
        <w:rPr>
          <w:rFonts w:hint="default" w:ascii="Times New Roman" w:hAnsi="Times New Roman" w:eastAsia="宋体" w:cs="Times New Roman"/>
          <w:sz w:val="24"/>
          <w:szCs w:val="24"/>
          <w:lang w:val="zh-TW" w:eastAsia="zh-CN"/>
        </w:rPr>
        <w:t>）属于危废，委托有危废处理资质的单位处置，更换的废弃零部件（S</w:t>
      </w:r>
      <w:r>
        <w:rPr>
          <w:rFonts w:hint="default" w:ascii="Times New Roman" w:hAnsi="Times New Roman" w:eastAsia="宋体" w:cs="Times New Roman"/>
          <w:sz w:val="24"/>
          <w:szCs w:val="24"/>
          <w:lang w:val="zh-TW" w:eastAsia="zh-TW"/>
        </w:rPr>
        <w:t>3</w:t>
      </w:r>
      <w:r>
        <w:rPr>
          <w:rFonts w:hint="default" w:ascii="Times New Roman" w:hAnsi="Times New Roman" w:eastAsia="宋体" w:cs="Times New Roman"/>
          <w:sz w:val="24"/>
          <w:szCs w:val="24"/>
          <w:lang w:val="zh-TW" w:eastAsia="zh-CN"/>
        </w:rPr>
        <w:t>）统一回收外卖。</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（2）汽车维修</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需要维修的车辆首先送入维修区利用电脑检测仪等仪器进行整体检查，确定需要维修的部位，估算维修费用。经客户确认后，再拆解车辆进行维修。根据损失的类别和程度进行不同种类的维修。维修主要包括车体修复和零部件修复。</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1）车体修复</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车体修复主要包括钣金修复、焊接等。</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①钣金修复：钣金修复主要利用大梁校正仪、钣金整形机等设备将因撞击或翻转造成的铁板凹陷、梁架弯曲、尺寸位移等伤害进行拉伸校正。该工序中大梁校正仪等设备工作产生噪声，修复过程产生部分废金属（S</w:t>
      </w:r>
      <w:r>
        <w:rPr>
          <w:rFonts w:hint="default" w:ascii="Times New Roman" w:hAnsi="Times New Roman" w:eastAsia="宋体" w:cs="Times New Roman"/>
          <w:sz w:val="24"/>
          <w:szCs w:val="24"/>
          <w:lang w:val="zh-TW" w:eastAsia="zh-TW"/>
        </w:rPr>
        <w:t>4</w:t>
      </w:r>
      <w:r>
        <w:rPr>
          <w:rFonts w:hint="default" w:ascii="Times New Roman" w:hAnsi="Times New Roman" w:eastAsia="宋体" w:cs="Times New Roman"/>
          <w:sz w:val="24"/>
          <w:szCs w:val="24"/>
          <w:lang w:val="zh-TW" w:eastAsia="zh-CN"/>
        </w:rPr>
        <w:t>），集中收集后外售处置。</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②焊接：部分车身破损钢件需要进行焊接处置。本项目采用二氧化碳保护焊和脉冲氩弧铝焊接。该工序会产生少量焊接烟尘（G</w:t>
      </w:r>
      <w:r>
        <w:rPr>
          <w:rFonts w:hint="default" w:ascii="Times New Roman" w:hAnsi="Times New Roman" w:eastAsia="宋体" w:cs="Times New Roman"/>
          <w:sz w:val="24"/>
          <w:szCs w:val="24"/>
          <w:lang w:val="zh-TW" w:eastAsia="zh-TW"/>
        </w:rPr>
        <w:t>1</w:t>
      </w:r>
      <w:r>
        <w:rPr>
          <w:rFonts w:hint="default" w:ascii="Times New Roman" w:hAnsi="Times New Roman" w:eastAsia="宋体" w:cs="Times New Roman"/>
          <w:sz w:val="24"/>
          <w:szCs w:val="24"/>
          <w:lang w:val="zh-TW" w:eastAsia="zh-CN"/>
        </w:rPr>
        <w:t>），主要成分为MnO</w:t>
      </w:r>
      <w:r>
        <w:rPr>
          <w:rFonts w:hint="default" w:ascii="Times New Roman" w:hAnsi="Times New Roman" w:eastAsia="宋体" w:cs="Times New Roman"/>
          <w:sz w:val="24"/>
          <w:szCs w:val="24"/>
          <w:vertAlign w:val="subscript"/>
          <w:lang w:val="zh-TW" w:eastAsia="zh-CN"/>
        </w:rPr>
        <w:t>2</w:t>
      </w:r>
      <w:r>
        <w:rPr>
          <w:rFonts w:hint="default" w:ascii="Times New Roman" w:hAnsi="Times New Roman" w:eastAsia="宋体" w:cs="Times New Roman"/>
          <w:sz w:val="24"/>
          <w:szCs w:val="24"/>
          <w:lang w:val="zh-TW" w:eastAsia="zh-CN"/>
        </w:rPr>
        <w:t>、Fe</w:t>
      </w:r>
      <w:r>
        <w:rPr>
          <w:rFonts w:hint="eastAsia"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zh-TW" w:eastAsia="zh-CN"/>
        </w:rPr>
        <w:t>O</w:t>
      </w:r>
      <w:r>
        <w:rPr>
          <w:rFonts w:hint="default" w:ascii="Times New Roman" w:hAnsi="Times New Roman" w:eastAsia="宋体" w:cs="Times New Roman"/>
          <w:sz w:val="24"/>
          <w:szCs w:val="24"/>
          <w:vertAlign w:val="subscript"/>
          <w:lang w:val="zh-TW" w:eastAsia="zh-CN"/>
        </w:rPr>
        <w:t>3</w:t>
      </w:r>
      <w:r>
        <w:rPr>
          <w:rFonts w:hint="default" w:ascii="Times New Roman" w:hAnsi="Times New Roman" w:eastAsia="宋体" w:cs="Times New Roman"/>
          <w:sz w:val="24"/>
          <w:szCs w:val="24"/>
          <w:lang w:val="zh-TW" w:eastAsia="zh-CN"/>
        </w:rPr>
        <w:t xml:space="preserve"> 等，同时产生废焊材（S</w:t>
      </w:r>
      <w:r>
        <w:rPr>
          <w:rFonts w:hint="default" w:ascii="Times New Roman" w:hAnsi="Times New Roman" w:eastAsia="宋体" w:cs="Times New Roman"/>
          <w:sz w:val="24"/>
          <w:szCs w:val="24"/>
          <w:lang w:val="zh-TW" w:eastAsia="zh-TW"/>
        </w:rPr>
        <w:t>5</w:t>
      </w:r>
      <w:r>
        <w:rPr>
          <w:rFonts w:hint="default" w:ascii="Times New Roman" w:hAnsi="Times New Roman" w:eastAsia="宋体" w:cs="Times New Roman"/>
          <w:sz w:val="24"/>
          <w:szCs w:val="24"/>
          <w:lang w:val="zh-TW" w:eastAsia="zh-CN"/>
        </w:rPr>
        <w:t>）。</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2）零部件修复</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零部件修复主要包括精修和焊接。</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①精修：破损的零部件多数需要人工进行精修，包括对发动机、门锁、装饰件都能够内部结构及线路的粘接、注油、固定，以及将发生形变的车灯、机械电气等进行尺寸复原等。精修工序在专门的钳工台上进行操作。根据建设单位提供的资料。更换的废弃零部件统一回收外卖。废油、废油桶等属于危废，委托有危废处理资质的单位回收处置，废零部件（S</w:t>
      </w:r>
      <w:r>
        <w:rPr>
          <w:rFonts w:hint="default" w:ascii="Times New Roman" w:hAnsi="Times New Roman" w:eastAsia="宋体" w:cs="Times New Roman"/>
          <w:sz w:val="24"/>
          <w:szCs w:val="24"/>
          <w:lang w:val="zh-TW" w:eastAsia="zh-TW"/>
        </w:rPr>
        <w:t>3</w:t>
      </w:r>
      <w:r>
        <w:rPr>
          <w:rFonts w:hint="default" w:ascii="Times New Roman" w:hAnsi="Times New Roman" w:eastAsia="宋体" w:cs="Times New Roman"/>
          <w:sz w:val="24"/>
          <w:szCs w:val="24"/>
          <w:lang w:val="zh-TW" w:eastAsia="zh-CN"/>
        </w:rPr>
        <w:t>）经收集后外售。</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②焊接：精修后的部分零部件损坏接触部位的金属需重新焊接，本工序采用脉冲氩弧焊，该工序产生少量焊接烟尘（G</w:t>
      </w:r>
      <w:r>
        <w:rPr>
          <w:rFonts w:hint="default" w:ascii="Times New Roman" w:hAnsi="Times New Roman" w:eastAsia="宋体" w:cs="Times New Roman"/>
          <w:sz w:val="24"/>
          <w:szCs w:val="24"/>
          <w:lang w:val="zh-TW" w:eastAsia="zh-TW"/>
        </w:rPr>
        <w:t>1</w:t>
      </w:r>
      <w:r>
        <w:rPr>
          <w:rFonts w:hint="default" w:ascii="Times New Roman" w:hAnsi="Times New Roman" w:eastAsia="宋体" w:cs="Times New Roman"/>
          <w:sz w:val="24"/>
          <w:szCs w:val="24"/>
          <w:lang w:val="zh-TW" w:eastAsia="zh-CN"/>
        </w:rPr>
        <w:t>），同时焊机工作产生噪声。</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3）喷漆、烤漆</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①调漆：面漆采用汽车油漆；调漆将汽车油漆与稀料按照一定比例进行混合（汽车油漆：稀料=1:1）。调漆在密闭的喷漆间内进行。②喷漆：喷漆在喷烤漆房内进行，喷完中途底漆后的漆面进行晾干，晾干后的漆面需要用干磨机配合相应型号的砂纸进行无尘干磨，打磨好的漆面用遮蔽纸将无需喷漆的漆面遮蔽后进行后续油漆喷涂。③烤漆：喷清漆后的漆面需进行烘干，烤漆温度控制为80℃，烘烤2 次，每次烘烤40min。打磨工序产生废砂纸（S</w:t>
      </w:r>
      <w:r>
        <w:rPr>
          <w:rFonts w:hint="default" w:ascii="Times New Roman" w:hAnsi="Times New Roman" w:eastAsia="宋体" w:cs="Times New Roman"/>
          <w:sz w:val="24"/>
          <w:szCs w:val="24"/>
          <w:lang w:val="zh-TW" w:eastAsia="zh-TW"/>
        </w:rPr>
        <w:t>6</w:t>
      </w:r>
      <w:r>
        <w:rPr>
          <w:rFonts w:hint="default" w:ascii="Times New Roman" w:hAnsi="Times New Roman" w:eastAsia="宋体" w:cs="Times New Roman"/>
          <w:sz w:val="24"/>
          <w:szCs w:val="24"/>
          <w:lang w:val="zh-TW" w:eastAsia="zh-CN"/>
        </w:rPr>
        <w:t>），调漆、喷烤漆工序产生有机废气（G</w:t>
      </w:r>
      <w:r>
        <w:rPr>
          <w:rFonts w:hint="default" w:ascii="Times New Roman" w:hAnsi="Times New Roman" w:eastAsia="宋体" w:cs="Times New Roman"/>
          <w:sz w:val="24"/>
          <w:szCs w:val="24"/>
          <w:lang w:val="zh-TW" w:eastAsia="zh-TW"/>
        </w:rPr>
        <w:t>2</w:t>
      </w:r>
      <w:r>
        <w:rPr>
          <w:rFonts w:hint="default" w:ascii="Times New Roman" w:hAnsi="Times New Roman" w:eastAsia="宋体" w:cs="Times New Roman"/>
          <w:sz w:val="24"/>
          <w:szCs w:val="24"/>
          <w:lang w:val="zh-TW" w:eastAsia="zh-CN"/>
        </w:rPr>
        <w:t>）、废遮蔽纸（S</w:t>
      </w:r>
      <w:r>
        <w:rPr>
          <w:rFonts w:hint="default" w:ascii="Times New Roman" w:hAnsi="Times New Roman" w:eastAsia="宋体" w:cs="Times New Roman"/>
          <w:sz w:val="24"/>
          <w:szCs w:val="24"/>
          <w:lang w:val="zh-TW" w:eastAsia="zh-TW"/>
        </w:rPr>
        <w:t>7</w:t>
      </w:r>
      <w:r>
        <w:rPr>
          <w:rFonts w:hint="default" w:ascii="Times New Roman" w:hAnsi="Times New Roman" w:eastAsia="宋体" w:cs="Times New Roman"/>
          <w:sz w:val="24"/>
          <w:szCs w:val="24"/>
          <w:lang w:val="zh-TW" w:eastAsia="zh-CN"/>
        </w:rPr>
        <w:t>）、废油漆桶（</w:t>
      </w:r>
      <w:r>
        <w:rPr>
          <w:rFonts w:hint="default" w:ascii="Times New Roman" w:hAnsi="Times New Roman" w:eastAsia="宋体" w:cs="Times New Roman"/>
          <w:sz w:val="24"/>
          <w:szCs w:val="24"/>
          <w:highlight w:val="none"/>
          <w:lang w:val="zh-TW" w:eastAsia="zh-CN"/>
        </w:rPr>
        <w:t>S</w:t>
      </w:r>
      <w:r>
        <w:rPr>
          <w:rFonts w:hint="default" w:ascii="Times New Roman" w:hAnsi="Times New Roman" w:eastAsia="宋体" w:cs="Times New Roman"/>
          <w:sz w:val="24"/>
          <w:szCs w:val="24"/>
          <w:highlight w:val="none"/>
          <w:lang w:val="zh-TW" w:eastAsia="zh-TW"/>
        </w:rPr>
        <w:t>8</w:t>
      </w:r>
      <w:r>
        <w:rPr>
          <w:rFonts w:hint="default" w:ascii="Times New Roman" w:hAnsi="Times New Roman" w:eastAsia="宋体" w:cs="Times New Roman"/>
          <w:sz w:val="24"/>
          <w:szCs w:val="24"/>
          <w:highlight w:val="none"/>
          <w:lang w:val="zh-TW" w:eastAsia="zh-CN"/>
        </w:rPr>
        <w:t>）。产生的废气利用风机收集，经“</w:t>
      </w:r>
      <w:r>
        <w:rPr>
          <w:rFonts w:hint="eastAsia" w:ascii="Times New Roman" w:hAnsi="Times New Roman" w:cs="Times New Roman"/>
          <w:sz w:val="24"/>
          <w:szCs w:val="24"/>
          <w:highlight w:val="none"/>
          <w:lang w:val="zh-TW" w:eastAsia="zh-CN"/>
        </w:rPr>
        <w:t>过滤棉</w:t>
      </w:r>
      <w:r>
        <w:rPr>
          <w:rFonts w:hint="eastAsia"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zh-TW" w:eastAsia="zh-CN"/>
        </w:rPr>
        <w:t>光氧催化装置+活性炭吸附装置</w:t>
      </w:r>
      <w:r>
        <w:rPr>
          <w:rFonts w:hint="default" w:ascii="Times New Roman" w:hAnsi="Times New Roman" w:eastAsia="宋体" w:cs="Times New Roman"/>
          <w:sz w:val="24"/>
          <w:szCs w:val="24"/>
          <w:highlight w:val="none"/>
          <w:lang w:val="zh-TW" w:eastAsia="zh-CN"/>
        </w:rPr>
        <w:t>”处理后</w:t>
      </w:r>
      <w:r>
        <w:rPr>
          <w:rFonts w:hint="default" w:ascii="Times New Roman" w:hAnsi="Times New Roman" w:eastAsia="宋体" w:cs="Times New Roman"/>
          <w:sz w:val="24"/>
          <w:szCs w:val="24"/>
          <w:lang w:val="zh-TW" w:eastAsia="zh-CN"/>
        </w:rPr>
        <w:t>经15m高排气筒排放。废气处理设备产生漆渣（S</w:t>
      </w:r>
      <w:r>
        <w:rPr>
          <w:rFonts w:hint="default" w:ascii="Times New Roman" w:hAnsi="Times New Roman" w:eastAsia="宋体" w:cs="Times New Roman"/>
          <w:sz w:val="24"/>
          <w:szCs w:val="24"/>
          <w:lang w:val="zh-TW" w:eastAsia="zh-TW"/>
        </w:rPr>
        <w:t>9</w:t>
      </w:r>
      <w:r>
        <w:rPr>
          <w:rFonts w:hint="default" w:ascii="Times New Roman" w:hAnsi="Times New Roman" w:eastAsia="宋体" w:cs="Times New Roman"/>
          <w:sz w:val="24"/>
          <w:szCs w:val="24"/>
          <w:lang w:val="zh-TW" w:eastAsia="zh-CN"/>
        </w:rPr>
        <w:t>）、废过滤棉（S</w:t>
      </w:r>
      <w:r>
        <w:rPr>
          <w:rFonts w:hint="default" w:ascii="Times New Roman" w:hAnsi="Times New Roman" w:eastAsia="宋体" w:cs="Times New Roman"/>
          <w:sz w:val="24"/>
          <w:szCs w:val="24"/>
          <w:lang w:val="zh-TW" w:eastAsia="zh-TW"/>
        </w:rPr>
        <w:t>10</w:t>
      </w:r>
      <w:r>
        <w:rPr>
          <w:rFonts w:hint="default" w:ascii="Times New Roman" w:hAnsi="Times New Roman" w:eastAsia="宋体" w:cs="Times New Roman"/>
          <w:sz w:val="24"/>
          <w:szCs w:val="24"/>
          <w:lang w:val="zh-TW" w:eastAsia="zh-CN"/>
        </w:rPr>
        <w:t>）、废活性炭（S</w:t>
      </w:r>
      <w:r>
        <w:rPr>
          <w:rFonts w:hint="default" w:ascii="Times New Roman" w:hAnsi="Times New Roman" w:eastAsia="宋体" w:cs="Times New Roman"/>
          <w:sz w:val="24"/>
          <w:szCs w:val="24"/>
          <w:lang w:val="zh-TW" w:eastAsia="zh-TW"/>
        </w:rPr>
        <w:t>11</w:t>
      </w:r>
      <w:r>
        <w:rPr>
          <w:rFonts w:hint="default" w:ascii="Times New Roman" w:hAnsi="Times New Roman" w:eastAsia="宋体" w:cs="Times New Roman"/>
          <w:sz w:val="24"/>
          <w:szCs w:val="24"/>
          <w:lang w:val="zh-TW" w:eastAsia="zh-CN"/>
        </w:rPr>
        <w:t>）。</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4）车辆装配、测试、清洗</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车辆修复完成后由工人重新进行组装，组装完成并试车合格后最终交付车主。</w:t>
      </w:r>
    </w:p>
    <w:p>
      <w:pPr>
        <w:pStyle w:val="7"/>
        <w:keepNext w:val="0"/>
        <w:keepLines w:val="0"/>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宋体" w:cs="Times New Roman"/>
          <w:sz w:val="24"/>
          <w:szCs w:val="24"/>
          <w:lang w:val="zh-TW" w:eastAsia="zh-CN"/>
        </w:rPr>
      </w:pPr>
      <w:r>
        <w:rPr>
          <w:rFonts w:hint="default" w:ascii="Times New Roman" w:hAnsi="Times New Roman" w:eastAsia="宋体" w:cs="Times New Roman"/>
          <w:sz w:val="24"/>
          <w:szCs w:val="24"/>
          <w:lang w:val="zh-TW" w:eastAsia="zh-CN"/>
        </w:rPr>
        <w:t>2.4 劳动定员及工作制度</w:t>
      </w:r>
      <w:bookmarkEnd w:id="88"/>
      <w:bookmarkEnd w:id="89"/>
      <w:bookmarkEnd w:id="90"/>
      <w:bookmarkEnd w:id="91"/>
    </w:p>
    <w:p>
      <w:pPr>
        <w:pStyle w:val="5"/>
        <w:spacing w:line="360" w:lineRule="auto"/>
        <w:ind w:firstLine="480" w:firstLineChars="200"/>
        <w:rPr>
          <w:rFonts w:hint="eastAsia" w:ascii="Times New Roman" w:hAnsi="Times New Roman" w:eastAsia="宋体" w:cs="Times New Roman"/>
          <w:color w:val="auto"/>
          <w:lang w:eastAsia="zh-CN"/>
        </w:rPr>
      </w:pPr>
      <w:bookmarkStart w:id="92" w:name="_Toc110"/>
      <w:bookmarkStart w:id="93" w:name="_Toc2976"/>
      <w:bookmarkStart w:id="94" w:name="_Toc4180"/>
      <w:bookmarkStart w:id="95" w:name="_Toc172"/>
      <w:bookmarkStart w:id="96" w:name="_Toc23560"/>
      <w:r>
        <w:rPr>
          <w:rFonts w:hint="eastAsia" w:ascii="Times New Roman" w:hAnsi="Times New Roman" w:eastAsia="宋体" w:cs="Times New Roman"/>
          <w:color w:val="auto"/>
          <w:lang w:eastAsia="zh-CN"/>
        </w:rPr>
        <w:t>项目</w:t>
      </w:r>
      <w:r>
        <w:rPr>
          <w:sz w:val="24"/>
          <w:szCs w:val="24"/>
        </w:rPr>
        <w:t>劳动</w:t>
      </w:r>
      <w:r>
        <w:rPr>
          <w:rFonts w:hint="default" w:ascii="Times New Roman" w:hAnsi="Times New Roman" w:cs="Times New Roman"/>
          <w:sz w:val="24"/>
          <w:szCs w:val="24"/>
        </w:rPr>
        <w:t>定员30人，其中管理及技术人员5人，车间生产人员25人，1班工作制，每班工作8小时，年工作360天</w:t>
      </w:r>
      <w:r>
        <w:rPr>
          <w:rFonts w:hint="default" w:ascii="Times New Roman" w:hAnsi="Times New Roman" w:eastAsia="宋体" w:cs="Times New Roman"/>
          <w:color w:val="auto"/>
          <w:lang w:eastAsia="zh-CN"/>
        </w:rPr>
        <w:t>。</w:t>
      </w:r>
      <w:bookmarkEnd w:id="92"/>
      <w:bookmarkEnd w:id="93"/>
    </w:p>
    <w:p>
      <w:pPr>
        <w:pStyle w:val="4"/>
        <w:rPr>
          <w:rFonts w:hint="default" w:ascii="Times New Roman" w:hAnsi="Times New Roman" w:eastAsia="宋体" w:cs="Times New Roman"/>
        </w:rPr>
      </w:pPr>
      <w:bookmarkStart w:id="97" w:name="_Toc14216"/>
      <w:r>
        <w:rPr>
          <w:rFonts w:hint="default" w:ascii="Times New Roman" w:hAnsi="Times New Roman" w:eastAsia="宋体" w:cs="Times New Roman"/>
        </w:rPr>
        <w:t>2.5 公用工程</w:t>
      </w:r>
      <w:bookmarkEnd w:id="94"/>
      <w:bookmarkEnd w:id="95"/>
      <w:bookmarkEnd w:id="96"/>
      <w:bookmarkEnd w:id="97"/>
    </w:p>
    <w:p>
      <w:pPr>
        <w:pStyle w:val="5"/>
        <w:spacing w:line="360" w:lineRule="auto"/>
        <w:rPr>
          <w:rFonts w:hint="default" w:ascii="Times New Roman" w:hAnsi="Times New Roman" w:eastAsia="宋体" w:cs="Times New Roman"/>
          <w:color w:val="auto"/>
        </w:rPr>
      </w:pPr>
      <w:bookmarkStart w:id="98" w:name="_Toc30661"/>
      <w:bookmarkStart w:id="99" w:name="_Toc30587"/>
      <w:bookmarkStart w:id="100" w:name="_Toc496979011"/>
      <w:bookmarkStart w:id="101" w:name="_Toc23987"/>
      <w:bookmarkStart w:id="102" w:name="_Toc20998"/>
      <w:bookmarkStart w:id="103" w:name="_Toc497001447"/>
      <w:r>
        <w:rPr>
          <w:rFonts w:hint="default" w:ascii="Times New Roman" w:hAnsi="Times New Roman" w:eastAsia="宋体" w:cs="Times New Roman"/>
        </w:rPr>
        <w:t>2.5.</w:t>
      </w:r>
      <w:r>
        <w:rPr>
          <w:rFonts w:hint="default" w:ascii="Times New Roman" w:hAnsi="Times New Roman" w:eastAsia="宋体" w:cs="Times New Roman"/>
          <w:color w:val="auto"/>
        </w:rPr>
        <w:t>1 给排水</w:t>
      </w:r>
      <w:bookmarkEnd w:id="98"/>
      <w:bookmarkEnd w:id="99"/>
      <w:bookmarkEnd w:id="100"/>
      <w:bookmarkEnd w:id="101"/>
      <w:bookmarkEnd w:id="102"/>
      <w:bookmarkEnd w:id="103"/>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lang w:val="en-US" w:eastAsia="zh-CN"/>
        </w:rPr>
      </w:pPr>
      <w:bookmarkStart w:id="104" w:name="_Toc25201"/>
      <w:bookmarkStart w:id="105" w:name="_Toc497001448"/>
      <w:bookmarkStart w:id="106" w:name="_Toc922"/>
      <w:bookmarkStart w:id="107" w:name="_Toc496979012"/>
      <w:r>
        <w:rPr>
          <w:rFonts w:hint="default" w:ascii="Times New Roman" w:hAnsi="Times New Roman" w:cs="Times New Roman"/>
          <w:sz w:val="24"/>
          <w:szCs w:val="24"/>
          <w:lang w:val="en-US" w:eastAsia="zh-CN"/>
        </w:rPr>
        <w:t>1）给水：</w:t>
      </w:r>
      <w:r>
        <w:rPr>
          <w:rFonts w:hint="eastAsia" w:ascii="Times New Roman" w:hAnsi="Times New Roman" w:cs="Times New Roman"/>
          <w:sz w:val="24"/>
          <w:szCs w:val="24"/>
          <w:lang w:val="en-US" w:eastAsia="zh-CN"/>
        </w:rPr>
        <w:t>本项目用水</w:t>
      </w:r>
      <w:r>
        <w:rPr>
          <w:kern w:val="44"/>
          <w:sz w:val="24"/>
          <w:szCs w:val="24"/>
        </w:rPr>
        <w:t>由</w:t>
      </w:r>
      <w:r>
        <w:rPr>
          <w:sz w:val="24"/>
          <w:szCs w:val="24"/>
        </w:rPr>
        <w:t>沧州市新华区市政</w:t>
      </w:r>
      <w:r>
        <w:rPr>
          <w:kern w:val="44"/>
          <w:sz w:val="24"/>
          <w:szCs w:val="24"/>
        </w:rPr>
        <w:t>供水管网供给</w:t>
      </w:r>
      <w:r>
        <w:rPr>
          <w:rFonts w:hint="eastAsia" w:ascii="Times New Roman" w:hAnsi="Times New Roman" w:cs="Times New Roman"/>
          <w:sz w:val="24"/>
          <w:szCs w:val="24"/>
          <w:lang w:val="en-US" w:eastAsia="zh-CN"/>
        </w:rPr>
        <w:t>。</w:t>
      </w:r>
      <w:bookmarkEnd w:id="104"/>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eastAsia" w:ascii="Times New Roman" w:hAnsi="Times New Roman" w:cs="Times New Roman"/>
          <w:sz w:val="24"/>
          <w:szCs w:val="24"/>
          <w:lang w:val="en-US" w:eastAsia="zh-CN"/>
        </w:rPr>
      </w:pPr>
      <w:bookmarkStart w:id="108" w:name="_Toc26592"/>
      <w:bookmarkStart w:id="109" w:name="_Toc21823"/>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排</w:t>
      </w:r>
      <w:r>
        <w:rPr>
          <w:rFonts w:hint="default" w:ascii="Times New Roman" w:hAnsi="Times New Roman" w:cs="Times New Roman"/>
          <w:sz w:val="24"/>
          <w:szCs w:val="24"/>
          <w:lang w:val="en-US" w:eastAsia="zh-CN"/>
        </w:rPr>
        <w:t>水：</w:t>
      </w:r>
      <w:r>
        <w:rPr>
          <w:rFonts w:hint="eastAsia" w:ascii="Times New Roman" w:hAnsi="Times New Roman" w:cs="Times New Roman"/>
          <w:sz w:val="24"/>
          <w:szCs w:val="24"/>
          <w:lang w:val="en-US" w:eastAsia="zh-CN"/>
        </w:rPr>
        <w:t>本项目</w:t>
      </w:r>
      <w:r>
        <w:rPr>
          <w:kern w:val="44"/>
          <w:sz w:val="24"/>
          <w:szCs w:val="24"/>
        </w:rPr>
        <w:t>在运行期无生产废水产生</w:t>
      </w:r>
      <w:r>
        <w:rPr>
          <w:rFonts w:hint="eastAsia"/>
          <w:kern w:val="44"/>
          <w:sz w:val="24"/>
          <w:szCs w:val="24"/>
          <w:lang w:eastAsia="zh-CN"/>
        </w:rPr>
        <w:t>，</w:t>
      </w:r>
      <w:r>
        <w:rPr>
          <w:rFonts w:hint="eastAsia" w:ascii="Times New Roman" w:hAnsi="Times New Roman" w:cs="Times New Roman"/>
          <w:sz w:val="24"/>
          <w:szCs w:val="24"/>
          <w:lang w:val="en-US" w:eastAsia="zh-CN"/>
        </w:rPr>
        <w:t>废水主要为</w:t>
      </w:r>
      <w:r>
        <w:rPr>
          <w:kern w:val="44"/>
          <w:sz w:val="24"/>
          <w:szCs w:val="24"/>
        </w:rPr>
        <w:t>办公生活废水</w:t>
      </w:r>
      <w:r>
        <w:rPr>
          <w:rFonts w:hint="eastAsia" w:ascii="Times New Roman" w:hAnsi="Times New Roman" w:cs="Times New Roman"/>
          <w:sz w:val="24"/>
          <w:szCs w:val="24"/>
          <w:lang w:val="en-US" w:eastAsia="zh-CN"/>
        </w:rPr>
        <w:t>，</w:t>
      </w:r>
      <w:r>
        <w:rPr>
          <w:kern w:val="44"/>
          <w:sz w:val="24"/>
          <w:szCs w:val="24"/>
        </w:rPr>
        <w:t>经厂区化粪池处理后排入市政管网，最终进入沧州市运</w:t>
      </w:r>
      <w:r>
        <w:rPr>
          <w:rFonts w:hint="eastAsia"/>
          <w:kern w:val="44"/>
          <w:sz w:val="24"/>
          <w:szCs w:val="24"/>
        </w:rPr>
        <w:t>东</w:t>
      </w:r>
      <w:r>
        <w:rPr>
          <w:kern w:val="44"/>
          <w:sz w:val="24"/>
          <w:szCs w:val="24"/>
        </w:rPr>
        <w:t>污水处理厂进行处理</w:t>
      </w:r>
      <w:r>
        <w:rPr>
          <w:rFonts w:hint="eastAsia" w:ascii="Times New Roman" w:hAnsi="Times New Roman" w:cs="Times New Roman"/>
          <w:sz w:val="24"/>
          <w:szCs w:val="24"/>
          <w:lang w:val="en-US" w:eastAsia="zh-CN"/>
        </w:rPr>
        <w:t>。</w:t>
      </w:r>
    </w:p>
    <w:p>
      <w:pPr>
        <w:pStyle w:val="7"/>
        <w:rPr>
          <w:rFonts w:hint="eastAsia" w:ascii="Times New Roman" w:hAnsi="Times New Roman" w:eastAsia="宋体" w:cs="Times New Roman"/>
          <w:color w:val="auto"/>
          <w:kern w:val="2"/>
          <w:sz w:val="24"/>
          <w:szCs w:val="24"/>
          <w:lang w:val="en-US" w:eastAsia="zh-CN" w:bidi="ar-SA"/>
        </w:rPr>
      </w:pPr>
      <w:r>
        <w:rPr>
          <w:b/>
          <w:kern w:val="44"/>
          <w:szCs w:val="24"/>
          <w:lang w:val="en-US" w:eastAsia="zh-CN"/>
        </w:rPr>
        <w:pict>
          <v:shape id="_x0000_s2059" o:spid="_x0000_s2059" o:spt="75" type="#_x0000_t75" style="position:absolute;left:0pt;margin-left:-0.85pt;margin-top:0.45pt;height:121.4pt;width:412.9pt;z-index:-2118660096;mso-width-relative:page;mso-height-relative:page;" o:ole="t" filled="f" o:preferrelative="t" stroked="f" coordsize="21600,21600">
            <v:path/>
            <v:fill on="f" focussize="0,0"/>
            <v:stroke on="f"/>
            <v:imagedata r:id="rId18" o:title=""/>
            <o:lock v:ext="edit" aspectratio="t"/>
          </v:shape>
          <o:OLEObject Type="Embed" ProgID="Visio.Drawing.11" ShapeID="_x0000_s2059" DrawAspect="Content" ObjectID="_1468075726" r:id="rId17">
            <o:LockedField>false</o:LockedField>
          </o:OLEObject>
        </w:pict>
      </w:r>
    </w:p>
    <w:p>
      <w:pPr>
        <w:pStyle w:val="8"/>
        <w:rPr>
          <w:rFonts w:hint="eastAsia" w:ascii="Times New Roman" w:hAnsi="Times New Roman" w:eastAsia="宋体" w:cs="Times New Roman"/>
          <w:color w:val="auto"/>
          <w:kern w:val="2"/>
          <w:sz w:val="24"/>
          <w:szCs w:val="24"/>
          <w:lang w:val="en-US" w:eastAsia="zh-CN" w:bidi="ar-SA"/>
        </w:rPr>
      </w:pPr>
    </w:p>
    <w:p>
      <w:pPr>
        <w:pStyle w:val="8"/>
        <w:rPr>
          <w:rFonts w:hint="eastAsia" w:ascii="Times New Roman" w:hAnsi="Times New Roman" w:eastAsia="宋体" w:cs="Times New Roman"/>
          <w:color w:val="auto"/>
          <w:kern w:val="2"/>
          <w:sz w:val="24"/>
          <w:szCs w:val="24"/>
          <w:lang w:val="en-US" w:eastAsia="zh-CN" w:bidi="ar-SA"/>
        </w:rPr>
      </w:pPr>
    </w:p>
    <w:p>
      <w:pPr>
        <w:pStyle w:val="8"/>
        <w:rPr>
          <w:rFonts w:hint="eastAsia" w:ascii="Times New Roman" w:hAnsi="Times New Roman" w:eastAsia="宋体" w:cs="Times New Roman"/>
          <w:color w:val="auto"/>
          <w:kern w:val="2"/>
          <w:sz w:val="24"/>
          <w:szCs w:val="24"/>
          <w:lang w:val="en-US" w:eastAsia="zh-CN" w:bidi="ar-SA"/>
        </w:rPr>
      </w:pPr>
    </w:p>
    <w:p>
      <w:pPr>
        <w:pStyle w:val="8"/>
        <w:rPr>
          <w:rFonts w:hint="eastAsia" w:ascii="Times New Roman" w:hAnsi="Times New Roman" w:eastAsia="宋体" w:cs="Times New Roman"/>
          <w:color w:val="auto"/>
          <w:kern w:val="2"/>
          <w:sz w:val="24"/>
          <w:szCs w:val="24"/>
          <w:lang w:val="en-US" w:eastAsia="zh-CN" w:bidi="ar-SA"/>
        </w:rPr>
      </w:pPr>
    </w:p>
    <w:p>
      <w:pPr>
        <w:pStyle w:val="8"/>
        <w:jc w:val="center"/>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cs="Times New Roman"/>
          <w:kern w:val="0"/>
          <w:sz w:val="24"/>
          <w:lang w:eastAsia="zh-CN"/>
        </w:rPr>
        <w:t>图</w:t>
      </w:r>
      <w:r>
        <w:rPr>
          <w:rFonts w:hint="default" w:ascii="Times New Roman" w:hAnsi="Times New Roman" w:cs="Times New Roman"/>
          <w:kern w:val="0"/>
          <w:sz w:val="24"/>
          <w:lang w:val="en-US" w:eastAsia="zh-CN"/>
        </w:rPr>
        <w:t>2-1  给排水平衡图   单位：m</w:t>
      </w:r>
      <w:r>
        <w:rPr>
          <w:rFonts w:hint="default" w:ascii="Times New Roman" w:hAnsi="Times New Roman" w:cs="Times New Roman"/>
          <w:kern w:val="0"/>
          <w:sz w:val="24"/>
          <w:vertAlign w:val="superscript"/>
          <w:lang w:val="en-US" w:eastAsia="zh-CN"/>
        </w:rPr>
        <w:t>3</w:t>
      </w:r>
      <w:r>
        <w:rPr>
          <w:rFonts w:hint="default" w:ascii="Times New Roman" w:hAnsi="Times New Roman" w:cs="Times New Roman"/>
          <w:kern w:val="0"/>
          <w:sz w:val="24"/>
          <w:lang w:val="en-US" w:eastAsia="zh-CN"/>
        </w:rPr>
        <w:t>/d</w:t>
      </w:r>
    </w:p>
    <w:p>
      <w:pPr>
        <w:pStyle w:val="5"/>
        <w:spacing w:line="360" w:lineRule="auto"/>
        <w:rPr>
          <w:rFonts w:hint="default" w:ascii="Times New Roman" w:hAnsi="Times New Roman" w:eastAsia="宋体" w:cs="Times New Roman"/>
          <w:color w:val="auto"/>
        </w:rPr>
      </w:pPr>
      <w:bookmarkStart w:id="110" w:name="_Toc11997"/>
      <w:r>
        <w:rPr>
          <w:rFonts w:hint="default" w:ascii="Times New Roman" w:hAnsi="Times New Roman" w:eastAsia="宋体" w:cs="Times New Roman"/>
          <w:color w:val="auto"/>
        </w:rPr>
        <w:t>2.5.2 供电</w:t>
      </w:r>
      <w:bookmarkEnd w:id="105"/>
      <w:bookmarkEnd w:id="106"/>
      <w:bookmarkEnd w:id="107"/>
      <w:bookmarkEnd w:id="108"/>
      <w:bookmarkEnd w:id="109"/>
      <w:bookmarkEnd w:id="110"/>
    </w:p>
    <w:p>
      <w:pPr>
        <w:spacing w:line="360" w:lineRule="auto"/>
        <w:ind w:firstLine="480" w:firstLineChars="200"/>
        <w:rPr>
          <w:rFonts w:hint="eastAsia" w:ascii="宋体" w:hAnsi="宋体"/>
          <w:kern w:val="0"/>
          <w:sz w:val="24"/>
          <w:lang w:eastAsia="zh-CN"/>
        </w:rPr>
      </w:pPr>
      <w:r>
        <w:rPr>
          <w:rFonts w:hint="eastAsia" w:ascii="宋体" w:hAnsi="宋体"/>
          <w:kern w:val="0"/>
          <w:sz w:val="24"/>
        </w:rPr>
        <w:t>本项目用电</w:t>
      </w:r>
      <w:r>
        <w:rPr>
          <w:sz w:val="24"/>
          <w:szCs w:val="24"/>
        </w:rPr>
        <w:t>由沧州市新华区供电系统</w:t>
      </w:r>
      <w:r>
        <w:rPr>
          <w:rFonts w:hint="eastAsia" w:ascii="宋体" w:hAnsi="宋体"/>
          <w:kern w:val="0"/>
          <w:sz w:val="24"/>
          <w:lang w:eastAsia="zh-CN"/>
        </w:rPr>
        <w:t>供给。</w:t>
      </w:r>
    </w:p>
    <w:p>
      <w:pPr>
        <w:pStyle w:val="5"/>
        <w:spacing w:line="360" w:lineRule="auto"/>
        <w:rPr>
          <w:rFonts w:hint="default" w:ascii="Times New Roman" w:hAnsi="Times New Roman" w:eastAsia="宋体" w:cs="Times New Roman"/>
          <w:color w:val="auto"/>
        </w:rPr>
      </w:pPr>
      <w:r>
        <w:rPr>
          <w:rFonts w:hint="default" w:ascii="Times New Roman" w:hAnsi="Times New Roman" w:eastAsia="宋体" w:cs="Times New Roman"/>
          <w:color w:val="auto"/>
        </w:rPr>
        <w:t>2.5.</w:t>
      </w:r>
      <w:r>
        <w:rPr>
          <w:rFonts w:hint="eastAsia" w:ascii="Times New Roman" w:hAnsi="Times New Roman" w:cs="Times New Roman"/>
          <w:color w:val="auto"/>
          <w:lang w:val="en-US" w:eastAsia="zh-CN"/>
        </w:rPr>
        <w:t>3</w:t>
      </w:r>
      <w:r>
        <w:rPr>
          <w:rFonts w:hint="default" w:ascii="Times New Roman" w:hAnsi="Times New Roman" w:eastAsia="宋体" w:cs="Times New Roman"/>
          <w:color w:val="auto"/>
        </w:rPr>
        <w:t>供热</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lang w:val="en-US" w:eastAsia="zh-CN"/>
        </w:rPr>
      </w:pPr>
      <w:r>
        <w:rPr>
          <w:sz w:val="24"/>
          <w:szCs w:val="24"/>
        </w:rPr>
        <w:t>本项目生产无需用热，车间无需制冷及取暖，办公区采取空调供暖。</w:t>
      </w:r>
    </w:p>
    <w:p>
      <w:pPr>
        <w:pStyle w:val="4"/>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rPr>
      </w:pPr>
      <w:bookmarkStart w:id="111" w:name="_Toc23930"/>
      <w:bookmarkStart w:id="112" w:name="_Toc16020"/>
      <w:bookmarkStart w:id="113" w:name="_Toc12064"/>
      <w:bookmarkStart w:id="114" w:name="_Toc21958"/>
      <w:r>
        <w:rPr>
          <w:rFonts w:hint="default" w:ascii="Times New Roman" w:hAnsi="Times New Roman" w:eastAsia="宋体" w:cs="Times New Roman"/>
        </w:rPr>
        <w:t>2.6 环评审批情况</w:t>
      </w:r>
      <w:bookmarkEnd w:id="111"/>
      <w:bookmarkEnd w:id="112"/>
      <w:bookmarkEnd w:id="113"/>
      <w:bookmarkEnd w:id="114"/>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2020年07月，</w:t>
      </w:r>
      <w:r>
        <w:rPr>
          <w:rFonts w:hint="eastAsia" w:ascii="Times New Roman" w:hAnsi="Times New Roman" w:cs="Times New Roman"/>
          <w:sz w:val="24"/>
          <w:szCs w:val="24"/>
          <w:highlight w:val="none"/>
          <w:lang w:val="en-US" w:eastAsia="zh-CN"/>
        </w:rPr>
        <w:t>企业委托沧州硕辉环保科技有限公司</w:t>
      </w:r>
      <w:r>
        <w:rPr>
          <w:rFonts w:hint="default" w:ascii="Times New Roman" w:hAnsi="Times New Roman" w:cs="Times New Roman"/>
          <w:color w:val="auto"/>
          <w:sz w:val="24"/>
          <w:szCs w:val="24"/>
          <w:highlight w:val="none"/>
          <w:lang w:val="en-US" w:eastAsia="zh-CN"/>
        </w:rPr>
        <w:t>编制完成了《</w:t>
      </w:r>
      <w:r>
        <w:rPr>
          <w:rFonts w:hint="eastAsia"/>
          <w:snapToGrid w:val="0"/>
          <w:kern w:val="0"/>
          <w:sz w:val="24"/>
          <w:szCs w:val="24"/>
        </w:rPr>
        <w:t>沧州市新华区路捷汽车维修服务中心汽车维修项目</w:t>
      </w:r>
      <w:r>
        <w:rPr>
          <w:rFonts w:hint="default" w:ascii="Times New Roman" w:hAnsi="Times New Roman" w:cs="Times New Roman"/>
          <w:color w:val="auto"/>
          <w:sz w:val="24"/>
          <w:szCs w:val="24"/>
          <w:lang w:val="en-US" w:eastAsia="zh-CN"/>
        </w:rPr>
        <w:t>环境影响报告表》，</w:t>
      </w:r>
      <w:r>
        <w:rPr>
          <w:rFonts w:hint="eastAsia" w:ascii="Times New Roman" w:hAnsi="Times New Roman" w:cs="Times New Roman"/>
          <w:color w:val="auto"/>
          <w:sz w:val="24"/>
          <w:szCs w:val="24"/>
          <w:lang w:val="en-US" w:eastAsia="zh-CN"/>
        </w:rPr>
        <w:t>并于2020年08月05</w:t>
      </w:r>
      <w:r>
        <w:rPr>
          <w:rFonts w:hint="eastAsia" w:ascii="Times New Roman" w:hAnsi="Times New Roman" w:cs="Times New Roman"/>
          <w:color w:val="auto"/>
          <w:sz w:val="24"/>
          <w:szCs w:val="24"/>
          <w:highlight w:val="none"/>
          <w:lang w:val="en-US" w:eastAsia="zh-CN"/>
        </w:rPr>
        <w:t>日</w:t>
      </w:r>
      <w:r>
        <w:rPr>
          <w:rFonts w:hint="default" w:ascii="Times New Roman" w:hAnsi="Times New Roman" w:cs="Times New Roman"/>
          <w:color w:val="auto"/>
          <w:sz w:val="24"/>
          <w:szCs w:val="24"/>
          <w:highlight w:val="none"/>
          <w:lang w:val="en-US" w:eastAsia="zh-CN"/>
        </w:rPr>
        <w:t>取得了</w:t>
      </w:r>
      <w:r>
        <w:rPr>
          <w:rFonts w:hint="eastAsia" w:ascii="Times New Roman" w:hAnsi="Times New Roman" w:cs="Times New Roman"/>
          <w:color w:val="auto"/>
          <w:sz w:val="24"/>
          <w:szCs w:val="24"/>
          <w:highlight w:val="none"/>
          <w:lang w:val="en-US" w:eastAsia="zh-CN"/>
        </w:rPr>
        <w:t>沧州市生态环境局新华区分局</w:t>
      </w:r>
      <w:r>
        <w:rPr>
          <w:rFonts w:hint="default" w:ascii="Times New Roman" w:hAnsi="Times New Roman" w:cs="Times New Roman"/>
          <w:color w:val="auto"/>
          <w:sz w:val="24"/>
          <w:szCs w:val="24"/>
          <w:highlight w:val="none"/>
          <w:lang w:val="en-US" w:eastAsia="zh-CN"/>
        </w:rPr>
        <w:t>的</w:t>
      </w:r>
      <w:r>
        <w:rPr>
          <w:rFonts w:hint="eastAsia" w:ascii="Times New Roman" w:hAnsi="Times New Roman" w:cs="Times New Roman"/>
          <w:color w:val="auto"/>
          <w:sz w:val="24"/>
          <w:szCs w:val="24"/>
          <w:highlight w:val="none"/>
          <w:lang w:val="en-US" w:eastAsia="zh-CN"/>
        </w:rPr>
        <w:t>审批</w:t>
      </w:r>
      <w:r>
        <w:rPr>
          <w:rFonts w:hint="default" w:ascii="Times New Roman" w:hAnsi="Times New Roman" w:cs="Times New Roman"/>
          <w:color w:val="auto"/>
          <w:sz w:val="24"/>
          <w:szCs w:val="24"/>
          <w:highlight w:val="none"/>
          <w:lang w:val="en-US" w:eastAsia="zh-CN"/>
        </w:rPr>
        <w:t>，批复文号为</w:t>
      </w:r>
      <w:r>
        <w:rPr>
          <w:rFonts w:hint="eastAsia" w:ascii="Times New Roman" w:hAnsi="Times New Roman" w:cs="Times New Roman"/>
          <w:sz w:val="24"/>
          <w:szCs w:val="24"/>
          <w:highlight w:val="none"/>
          <w:lang w:eastAsia="zh-CN"/>
        </w:rPr>
        <w:t>沧新环表[2020]11号</w:t>
      </w:r>
      <w:r>
        <w:rPr>
          <w:rFonts w:hint="eastAsia" w:ascii="Times New Roman" w:hAnsi="Times New Roman" w:cs="Times New Roman"/>
          <w:color w:val="auto"/>
          <w:sz w:val="24"/>
          <w:szCs w:val="24"/>
          <w:highlight w:val="none"/>
          <w:lang w:val="en-US" w:eastAsia="zh-CN"/>
        </w:rPr>
        <w:t>。</w:t>
      </w:r>
    </w:p>
    <w:p>
      <w:pPr>
        <w:pStyle w:val="4"/>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both"/>
        <w:textAlignment w:val="auto"/>
        <w:outlineLvl w:val="1"/>
        <w:rPr>
          <w:rFonts w:hint="default" w:ascii="Times New Roman" w:hAnsi="Times New Roman" w:eastAsia="宋体" w:cs="Times New Roman"/>
          <w:szCs w:val="22"/>
        </w:rPr>
      </w:pPr>
      <w:bookmarkStart w:id="115" w:name="_Toc27205"/>
      <w:bookmarkStart w:id="116" w:name="_Toc6019"/>
      <w:bookmarkStart w:id="117" w:name="_Toc23337"/>
      <w:bookmarkStart w:id="118" w:name="_Toc29987"/>
      <w:r>
        <w:rPr>
          <w:rFonts w:hint="default" w:ascii="Times New Roman" w:hAnsi="Times New Roman" w:eastAsia="宋体" w:cs="Times New Roman"/>
          <w:szCs w:val="22"/>
        </w:rPr>
        <w:t>2.7 项目投资</w:t>
      </w:r>
      <w:bookmarkEnd w:id="115"/>
      <w:bookmarkEnd w:id="116"/>
      <w:bookmarkEnd w:id="117"/>
      <w:bookmarkEnd w:id="118"/>
    </w:p>
    <w:p>
      <w:pPr>
        <w:pStyle w:val="4"/>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b w:val="0"/>
          <w:bCs/>
          <w:color w:val="auto"/>
          <w:kern w:val="2"/>
          <w:sz w:val="24"/>
          <w:szCs w:val="24"/>
          <w:lang w:val="en-US" w:eastAsia="zh-CN" w:bidi="ar-SA"/>
        </w:rPr>
      </w:pPr>
      <w:bookmarkStart w:id="119" w:name="_Toc3229"/>
      <w:bookmarkStart w:id="120" w:name="_Toc9966"/>
      <w:bookmarkStart w:id="121" w:name="_Toc6704"/>
      <w:bookmarkStart w:id="122" w:name="_Toc15687"/>
      <w:bookmarkStart w:id="123" w:name="_Toc21008"/>
      <w:r>
        <w:rPr>
          <w:rFonts w:hint="default" w:ascii="Times New Roman" w:hAnsi="Times New Roman" w:eastAsia="宋体" w:cs="Times New Roman"/>
          <w:b w:val="0"/>
          <w:bCs/>
          <w:color w:val="auto"/>
          <w:kern w:val="2"/>
          <w:sz w:val="24"/>
          <w:szCs w:val="24"/>
          <w:lang w:val="en-US" w:eastAsia="zh-CN" w:bidi="ar-SA"/>
        </w:rPr>
        <w:t>本项目设计总投资为</w:t>
      </w:r>
      <w:r>
        <w:rPr>
          <w:rFonts w:hint="eastAsia" w:ascii="Times New Roman" w:hAnsi="Times New Roman" w:cs="Times New Roman"/>
          <w:b w:val="0"/>
          <w:bCs/>
          <w:color w:val="auto"/>
          <w:kern w:val="2"/>
          <w:sz w:val="24"/>
          <w:szCs w:val="24"/>
          <w:lang w:val="en-US" w:eastAsia="zh-CN" w:bidi="ar-SA"/>
        </w:rPr>
        <w:t>120</w:t>
      </w:r>
      <w:r>
        <w:rPr>
          <w:rFonts w:hint="default" w:ascii="Times New Roman" w:hAnsi="Times New Roman" w:eastAsia="宋体" w:cs="Times New Roman"/>
          <w:b w:val="0"/>
          <w:bCs/>
          <w:color w:val="auto"/>
          <w:kern w:val="2"/>
          <w:sz w:val="24"/>
          <w:szCs w:val="24"/>
          <w:lang w:val="en-US" w:eastAsia="zh-CN" w:bidi="ar-SA"/>
        </w:rPr>
        <w:t>万元，其中设计环境保护总投资</w:t>
      </w:r>
      <w:r>
        <w:rPr>
          <w:rFonts w:hint="eastAsia" w:ascii="Times New Roman" w:hAnsi="Times New Roman" w:cs="Times New Roman"/>
          <w:b w:val="0"/>
          <w:bCs/>
          <w:color w:val="auto"/>
          <w:kern w:val="2"/>
          <w:sz w:val="24"/>
          <w:szCs w:val="24"/>
          <w:lang w:val="en-US" w:eastAsia="zh-CN" w:bidi="ar-SA"/>
        </w:rPr>
        <w:t>28</w:t>
      </w:r>
      <w:r>
        <w:rPr>
          <w:rFonts w:hint="default" w:ascii="Times New Roman" w:hAnsi="Times New Roman" w:eastAsia="宋体" w:cs="Times New Roman"/>
          <w:b w:val="0"/>
          <w:bCs/>
          <w:color w:val="auto"/>
          <w:kern w:val="2"/>
          <w:sz w:val="24"/>
          <w:szCs w:val="24"/>
          <w:lang w:val="en-US" w:eastAsia="zh-CN" w:bidi="ar-SA"/>
        </w:rPr>
        <w:t>万元，占总投资的</w:t>
      </w:r>
      <w:r>
        <w:rPr>
          <w:rFonts w:hint="eastAsia" w:ascii="Times New Roman" w:hAnsi="Times New Roman" w:cs="Times New Roman"/>
          <w:b w:val="0"/>
          <w:bCs/>
          <w:color w:val="auto"/>
          <w:kern w:val="2"/>
          <w:sz w:val="24"/>
          <w:szCs w:val="24"/>
          <w:lang w:val="en-US" w:eastAsia="zh-CN" w:bidi="ar-SA"/>
        </w:rPr>
        <w:t>23.3</w:t>
      </w:r>
      <w:r>
        <w:rPr>
          <w:rFonts w:hint="default" w:ascii="Times New Roman" w:hAnsi="Times New Roman" w:eastAsia="宋体" w:cs="Times New Roman"/>
          <w:b w:val="0"/>
          <w:bCs/>
          <w:color w:val="auto"/>
          <w:kern w:val="2"/>
          <w:sz w:val="24"/>
          <w:szCs w:val="24"/>
          <w:lang w:val="en-US" w:eastAsia="zh-CN" w:bidi="ar-SA"/>
        </w:rPr>
        <w:t>%。</w:t>
      </w:r>
      <w:bookmarkStart w:id="124" w:name="_Toc15491"/>
      <w:r>
        <w:rPr>
          <w:rFonts w:hint="default" w:ascii="Times New Roman" w:hAnsi="Times New Roman" w:eastAsia="宋体" w:cs="Times New Roman"/>
          <w:b w:val="0"/>
          <w:bCs/>
          <w:i w:val="0"/>
          <w:iCs w:val="0"/>
          <w:color w:val="auto"/>
          <w:kern w:val="2"/>
          <w:sz w:val="24"/>
          <w:szCs w:val="24"/>
          <w:lang w:val="en-US" w:eastAsia="zh-CN" w:bidi="ar-SA"/>
        </w:rPr>
        <w:t>实际总投资为</w:t>
      </w:r>
      <w:r>
        <w:rPr>
          <w:rFonts w:hint="eastAsia" w:ascii="Times New Roman" w:hAnsi="Times New Roman" w:cs="Times New Roman"/>
          <w:b w:val="0"/>
          <w:bCs/>
          <w:i w:val="0"/>
          <w:iCs w:val="0"/>
          <w:color w:val="auto"/>
          <w:kern w:val="2"/>
          <w:sz w:val="24"/>
          <w:szCs w:val="24"/>
          <w:lang w:val="en-US" w:eastAsia="zh-CN" w:bidi="ar-SA"/>
        </w:rPr>
        <w:t>120</w:t>
      </w:r>
      <w:r>
        <w:rPr>
          <w:rFonts w:hint="default" w:ascii="Times New Roman" w:hAnsi="Times New Roman" w:eastAsia="宋体" w:cs="Times New Roman"/>
          <w:b w:val="0"/>
          <w:bCs/>
          <w:i w:val="0"/>
          <w:iCs w:val="0"/>
          <w:color w:val="auto"/>
          <w:kern w:val="2"/>
          <w:sz w:val="24"/>
          <w:szCs w:val="24"/>
          <w:lang w:val="en-US" w:eastAsia="zh-CN" w:bidi="ar-SA"/>
        </w:rPr>
        <w:t>万元，其中环境保护总投资</w:t>
      </w:r>
      <w:r>
        <w:rPr>
          <w:rFonts w:hint="eastAsia" w:ascii="Times New Roman" w:hAnsi="Times New Roman" w:cs="Times New Roman"/>
          <w:b w:val="0"/>
          <w:bCs/>
          <w:i w:val="0"/>
          <w:iCs w:val="0"/>
          <w:color w:val="auto"/>
          <w:kern w:val="2"/>
          <w:sz w:val="24"/>
          <w:szCs w:val="24"/>
          <w:lang w:val="en-US" w:eastAsia="zh-CN" w:bidi="ar-SA"/>
        </w:rPr>
        <w:t>28</w:t>
      </w:r>
      <w:r>
        <w:rPr>
          <w:rFonts w:hint="default" w:ascii="Times New Roman" w:hAnsi="Times New Roman" w:eastAsia="宋体" w:cs="Times New Roman"/>
          <w:b w:val="0"/>
          <w:bCs/>
          <w:i w:val="0"/>
          <w:iCs w:val="0"/>
          <w:color w:val="auto"/>
          <w:kern w:val="2"/>
          <w:sz w:val="24"/>
          <w:szCs w:val="24"/>
          <w:lang w:val="en-US" w:eastAsia="zh-CN" w:bidi="ar-SA"/>
        </w:rPr>
        <w:t>万元，占总投资的</w:t>
      </w:r>
      <w:r>
        <w:rPr>
          <w:rFonts w:hint="eastAsia" w:ascii="Times New Roman" w:hAnsi="Times New Roman" w:cs="Times New Roman"/>
          <w:b w:val="0"/>
          <w:bCs/>
          <w:i w:val="0"/>
          <w:iCs w:val="0"/>
          <w:color w:val="auto"/>
          <w:kern w:val="2"/>
          <w:sz w:val="24"/>
          <w:szCs w:val="24"/>
          <w:lang w:val="en-US" w:eastAsia="zh-CN" w:bidi="ar-SA"/>
        </w:rPr>
        <w:t>23.3</w:t>
      </w:r>
      <w:r>
        <w:rPr>
          <w:rFonts w:hint="default" w:ascii="Times New Roman" w:hAnsi="Times New Roman" w:eastAsia="宋体" w:cs="Times New Roman"/>
          <w:b w:val="0"/>
          <w:bCs/>
          <w:i w:val="0"/>
          <w:iCs w:val="0"/>
          <w:color w:val="auto"/>
          <w:kern w:val="2"/>
          <w:sz w:val="24"/>
          <w:szCs w:val="24"/>
          <w:lang w:val="en-US" w:eastAsia="zh-CN" w:bidi="ar-SA"/>
        </w:rPr>
        <w:t>%。</w:t>
      </w:r>
      <w:bookmarkEnd w:id="119"/>
      <w:bookmarkEnd w:id="120"/>
      <w:bookmarkEnd w:id="121"/>
      <w:bookmarkEnd w:id="122"/>
      <w:bookmarkEnd w:id="123"/>
    </w:p>
    <w:p>
      <w:pPr>
        <w:pStyle w:val="4"/>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25" w:name="_Toc2981"/>
      <w:bookmarkStart w:id="126" w:name="_Toc4354"/>
      <w:bookmarkStart w:id="127" w:name="_Toc3625"/>
      <w:r>
        <w:rPr>
          <w:rFonts w:hint="default" w:ascii="Times New Roman" w:hAnsi="Times New Roman" w:eastAsia="宋体" w:cs="Times New Roman"/>
        </w:rPr>
        <w:t>2.8 项目变更情况说明</w:t>
      </w:r>
      <w:bookmarkEnd w:id="124"/>
      <w:bookmarkEnd w:id="125"/>
      <w:bookmarkEnd w:id="126"/>
      <w:bookmarkEnd w:id="127"/>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经现场调查和与建设单位核实，</w:t>
      </w:r>
      <w:r>
        <w:rPr>
          <w:rFonts w:hint="eastAsia" w:ascii="Times New Roman" w:hAnsi="Times New Roman" w:cs="Times New Roman"/>
          <w:sz w:val="24"/>
          <w:szCs w:val="24"/>
          <w:lang w:val="en-US" w:eastAsia="zh-CN"/>
        </w:rPr>
        <w:t>项目</w:t>
      </w:r>
      <w:r>
        <w:rPr>
          <w:rFonts w:hint="default" w:ascii="Times New Roman" w:hAnsi="Times New Roman" w:cs="Times New Roman"/>
          <w:sz w:val="24"/>
          <w:szCs w:val="24"/>
          <w:lang w:val="en-US" w:eastAsia="zh-CN"/>
        </w:rPr>
        <w:t>建设内容与环评</w:t>
      </w:r>
      <w:r>
        <w:rPr>
          <w:rFonts w:hint="eastAsia" w:ascii="Times New Roman" w:hAnsi="Times New Roman" w:cs="Times New Roman"/>
          <w:sz w:val="24"/>
          <w:szCs w:val="24"/>
          <w:lang w:val="en-US" w:eastAsia="zh-CN"/>
        </w:rPr>
        <w:t>基本</w:t>
      </w:r>
      <w:r>
        <w:rPr>
          <w:rFonts w:hint="default" w:ascii="Times New Roman" w:hAnsi="Times New Roman" w:cs="Times New Roman"/>
          <w:sz w:val="24"/>
          <w:szCs w:val="24"/>
          <w:lang w:val="en-US" w:eastAsia="zh-CN"/>
        </w:rPr>
        <w:t>一致</w:t>
      </w:r>
      <w:r>
        <w:rPr>
          <w:rFonts w:hint="default" w:ascii="Times New Roman" w:hAnsi="Times New Roman" w:eastAsia="宋体" w:cs="Times New Roman"/>
          <w:sz w:val="24"/>
          <w:szCs w:val="24"/>
          <w:lang w:val="en-US" w:eastAsia="zh-CN"/>
        </w:rPr>
        <w:t>。</w:t>
      </w:r>
    </w:p>
    <w:p>
      <w:pPr>
        <w:pStyle w:val="4"/>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28" w:name="_Toc3130"/>
      <w:bookmarkStart w:id="129" w:name="_Toc30604"/>
      <w:bookmarkStart w:id="130" w:name="_Toc5320"/>
      <w:bookmarkStart w:id="131" w:name="_Toc7013"/>
      <w:r>
        <w:rPr>
          <w:rFonts w:hint="default" w:ascii="Times New Roman" w:hAnsi="Times New Roman" w:eastAsia="宋体" w:cs="Times New Roman"/>
        </w:rPr>
        <w:t>2.9 环境保护“三同时”落实情况</w:t>
      </w:r>
      <w:bookmarkEnd w:id="128"/>
      <w:bookmarkEnd w:id="129"/>
      <w:bookmarkEnd w:id="130"/>
      <w:bookmarkEnd w:id="131"/>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rPr>
      </w:pPr>
      <w:r>
        <w:rPr>
          <w:rFonts w:hint="default" w:ascii="Times New Roman" w:hAnsi="Times New Roman" w:eastAsia="宋体" w:cs="Times New Roman"/>
          <w:b/>
          <w:color w:val="auto"/>
          <w:sz w:val="24"/>
          <w:szCs w:val="24"/>
        </w:rPr>
        <w:t>表2-</w:t>
      </w:r>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p>
    <w:tbl>
      <w:tblPr>
        <w:tblStyle w:val="22"/>
        <w:tblW w:w="5313" w:type="pct"/>
        <w:jc w:val="center"/>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Layout w:type="fixed"/>
        <w:tblCellMar>
          <w:top w:w="0" w:type="dxa"/>
          <w:left w:w="108" w:type="dxa"/>
          <w:bottom w:w="0" w:type="dxa"/>
          <w:right w:w="108" w:type="dxa"/>
        </w:tblCellMar>
      </w:tblPr>
      <w:tblGrid>
        <w:gridCol w:w="379"/>
        <w:gridCol w:w="1064"/>
        <w:gridCol w:w="1700"/>
        <w:gridCol w:w="2062"/>
        <w:gridCol w:w="2824"/>
        <w:gridCol w:w="1027"/>
      </w:tblGrid>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项目</w:t>
            </w:r>
          </w:p>
        </w:tc>
        <w:tc>
          <w:tcPr>
            <w:tcW w:w="587"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污染源</w:t>
            </w:r>
          </w:p>
        </w:tc>
        <w:tc>
          <w:tcPr>
            <w:tcW w:w="9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环保设施名称</w:t>
            </w:r>
          </w:p>
        </w:tc>
        <w:tc>
          <w:tcPr>
            <w:tcW w:w="11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验收指标</w:t>
            </w:r>
          </w:p>
        </w:tc>
        <w:tc>
          <w:tcPr>
            <w:tcW w:w="155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验收标准</w:t>
            </w:r>
          </w:p>
        </w:tc>
        <w:tc>
          <w:tcPr>
            <w:tcW w:w="567"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eastAsia="zh-CN"/>
              </w:rPr>
              <w:t>落实</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b/>
                <w:bCs/>
                <w:sz w:val="21"/>
                <w:szCs w:val="21"/>
                <w:lang w:eastAsia="zh-CN"/>
              </w:rPr>
              <w:t>情况</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73" w:hRule="atLeast"/>
          <w:jc w:val="center"/>
        </w:trPr>
        <w:tc>
          <w:tcPr>
            <w:tcW w:w="209"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废气</w:t>
            </w:r>
          </w:p>
        </w:tc>
        <w:tc>
          <w:tcPr>
            <w:tcW w:w="587"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喷漆烘烤废气</w:t>
            </w:r>
          </w:p>
        </w:tc>
        <w:tc>
          <w:tcPr>
            <w:tcW w:w="938"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微负压收集+过滤棉+等离子光氧一体机+活性炭吸附装置+15m排气筒</w:t>
            </w:r>
          </w:p>
        </w:tc>
        <w:tc>
          <w:tcPr>
            <w:tcW w:w="11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颗粒物排放浓</w:t>
            </w:r>
            <w:r>
              <w:rPr>
                <w:rFonts w:hint="default" w:ascii="Times New Roman" w:hAnsi="Times New Roman" w:cs="Times New Roman"/>
                <w:sz w:val="21"/>
                <w:szCs w:val="21"/>
              </w:rPr>
              <w:t>≤18mg/m</w:t>
            </w:r>
            <w:r>
              <w:rPr>
                <w:rFonts w:hint="default" w:ascii="Times New Roman" w:hAnsi="Times New Roman" w:cs="Times New Roman"/>
                <w:sz w:val="21"/>
                <w:szCs w:val="21"/>
                <w:vertAlign w:val="superscript"/>
              </w:rPr>
              <w:t>3</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w:t>
            </w:r>
            <w:r>
              <w:rPr>
                <w:rFonts w:hint="default" w:ascii="Times New Roman" w:hAnsi="Times New Roman" w:cs="Times New Roman"/>
                <w:sz w:val="21"/>
                <w:szCs w:val="21"/>
              </w:rPr>
              <w:t>排放速率≤0.51kg/h</w:t>
            </w:r>
          </w:p>
        </w:tc>
        <w:tc>
          <w:tcPr>
            <w:tcW w:w="155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《大气污染物综合排放标准》(GB16297-1996)表 2 颗粒物（染料尘）二级排放限值要求</w:t>
            </w:r>
          </w:p>
        </w:tc>
        <w:tc>
          <w:tcPr>
            <w:tcW w:w="567"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eastAsia" w:ascii="Times New Roman" w:hAnsi="Times New Roman" w:cs="Times New Roman" w:eastAsiaTheme="minorEastAsia"/>
                <w:sz w:val="21"/>
                <w:szCs w:val="21"/>
                <w:lang w:eastAsia="zh-CN"/>
              </w:rPr>
            </w:pPr>
            <w:r>
              <w:rPr>
                <w:rFonts w:hint="eastAsia" w:ascii="Times New Roman" w:hAnsi="Times New Roman" w:cs="Times New Roman"/>
                <w:sz w:val="21"/>
                <w:szCs w:val="21"/>
                <w:highlight w:val="none"/>
                <w:lang w:eastAsia="zh-CN"/>
              </w:rPr>
              <w:t>现场处理设施为过滤棉</w:t>
            </w:r>
            <w:r>
              <w:rPr>
                <w:rFonts w:hint="eastAsia" w:ascii="Times New Roman" w:hAnsi="Times New Roman" w:cs="Times New Roman"/>
                <w:sz w:val="21"/>
                <w:szCs w:val="21"/>
                <w:highlight w:val="none"/>
                <w:lang w:val="en-US" w:eastAsia="zh-CN"/>
              </w:rPr>
              <w:t>+</w:t>
            </w:r>
            <w:r>
              <w:rPr>
                <w:rFonts w:hint="eastAsia" w:ascii="Times New Roman" w:hAnsi="Times New Roman" w:cs="Times New Roman"/>
                <w:sz w:val="21"/>
                <w:szCs w:val="21"/>
                <w:highlight w:val="none"/>
                <w:lang w:eastAsia="zh-CN"/>
              </w:rPr>
              <w:t>光氧催化装置+活性炭吸附装置</w:t>
            </w:r>
            <w:r>
              <w:rPr>
                <w:rFonts w:hint="eastAsia" w:ascii="Times New Roman" w:hAnsi="Times New Roman" w:cs="Times New Roman"/>
                <w:sz w:val="21"/>
                <w:szCs w:val="21"/>
                <w:lang w:val="en-US" w:eastAsia="zh-CN"/>
              </w:rPr>
              <w:t>+15m排气筒</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1209" w:hRule="atLeast"/>
          <w:jc w:val="center"/>
        </w:trPr>
        <w:tc>
          <w:tcPr>
            <w:tcW w:w="209"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87"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938"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1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非甲烷总烃</w:t>
            </w:r>
            <w:r>
              <w:rPr>
                <w:rFonts w:hint="default" w:ascii="Times New Roman" w:hAnsi="Times New Roman" w:cs="Times New Roman"/>
                <w:sz w:val="21"/>
                <w:szCs w:val="21"/>
                <w:lang w:val="en-US"/>
              </w:rPr>
              <w:t>排放浓度</w:t>
            </w:r>
            <w:r>
              <w:rPr>
                <w:rFonts w:hint="default" w:ascii="Times New Roman" w:hAnsi="Times New Roman" w:cs="Times New Roman"/>
                <w:sz w:val="21"/>
                <w:szCs w:val="21"/>
              </w:rPr>
              <w:t>≤60mg/m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w:t>
            </w:r>
            <w:r>
              <w:rPr>
                <w:rFonts w:hint="default" w:ascii="Times New Roman" w:hAnsi="Times New Roman" w:cs="Times New Roman"/>
                <w:sz w:val="21"/>
                <w:szCs w:val="21"/>
                <w:lang w:val="en-US"/>
              </w:rPr>
              <w:t>最低去除效率70%</w:t>
            </w:r>
            <w:r>
              <w:rPr>
                <w:rFonts w:hint="default" w:ascii="Times New Roman" w:hAnsi="Times New Roman" w:cs="Times New Roman"/>
                <w:sz w:val="21"/>
                <w:szCs w:val="21"/>
              </w:rPr>
              <w:t>）</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rPr>
              <w:t>甲苯和二甲苯合计</w:t>
            </w:r>
            <w:r>
              <w:rPr>
                <w:rFonts w:hint="default" w:ascii="Times New Roman" w:hAnsi="Times New Roman" w:cs="Times New Roman"/>
                <w:sz w:val="21"/>
                <w:szCs w:val="21"/>
              </w:rPr>
              <w:t>≤</w:t>
            </w:r>
            <w:r>
              <w:rPr>
                <w:rFonts w:hint="default" w:ascii="Times New Roman" w:hAnsi="Times New Roman" w:cs="Times New Roman"/>
                <w:sz w:val="21"/>
                <w:szCs w:val="21"/>
                <w:lang w:val="en-US"/>
              </w:rPr>
              <w:t>20</w:t>
            </w:r>
            <w:r>
              <w:rPr>
                <w:rFonts w:hint="default" w:ascii="Times New Roman" w:hAnsi="Times New Roman" w:cs="Times New Roman"/>
                <w:sz w:val="21"/>
                <w:szCs w:val="21"/>
              </w:rPr>
              <w:t>mg/m</w:t>
            </w:r>
            <w:r>
              <w:rPr>
                <w:rFonts w:hint="default" w:ascii="Times New Roman" w:hAnsi="Times New Roman" w:cs="Times New Roman"/>
                <w:sz w:val="21"/>
                <w:szCs w:val="21"/>
                <w:vertAlign w:val="superscript"/>
              </w:rPr>
              <w:t>3</w:t>
            </w:r>
          </w:p>
        </w:tc>
        <w:tc>
          <w:tcPr>
            <w:tcW w:w="155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《工业企业挥发性有机物排放控制标准》（DB13/2322-2016）表1表面涂装业大气污染物排放限值要求</w:t>
            </w:r>
          </w:p>
        </w:tc>
        <w:tc>
          <w:tcPr>
            <w:tcW w:w="567"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73" w:hRule="atLeast"/>
          <w:jc w:val="center"/>
        </w:trPr>
        <w:tc>
          <w:tcPr>
            <w:tcW w:w="209"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87"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pacing w:val="4"/>
                <w:sz w:val="21"/>
                <w:szCs w:val="21"/>
              </w:rPr>
            </w:pPr>
            <w:r>
              <w:rPr>
                <w:rFonts w:hint="default" w:ascii="Times New Roman" w:hAnsi="Times New Roman" w:cs="Times New Roman"/>
                <w:spacing w:val="4"/>
                <w:sz w:val="21"/>
                <w:szCs w:val="21"/>
              </w:rPr>
              <w:t>维修车间</w:t>
            </w:r>
          </w:p>
        </w:tc>
        <w:tc>
          <w:tcPr>
            <w:tcW w:w="9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焊烟净化器、自带收尘装置、车间密闭</w:t>
            </w:r>
          </w:p>
        </w:tc>
        <w:tc>
          <w:tcPr>
            <w:tcW w:w="11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lang w:val="en-US"/>
              </w:rPr>
              <w:t>厂界颗粒物浓度</w:t>
            </w:r>
            <w:r>
              <w:rPr>
                <w:rFonts w:hint="default" w:ascii="Times New Roman" w:hAnsi="Times New Roman" w:cs="Times New Roman"/>
                <w:sz w:val="21"/>
                <w:szCs w:val="21"/>
              </w:rPr>
              <w:t>≤</w:t>
            </w:r>
            <w:r>
              <w:rPr>
                <w:rFonts w:hint="default" w:ascii="Times New Roman" w:hAnsi="Times New Roman" w:cs="Times New Roman"/>
                <w:sz w:val="21"/>
                <w:szCs w:val="21"/>
                <w:lang w:val="en-US"/>
              </w:rPr>
              <w:t>1.0</w:t>
            </w:r>
            <w:r>
              <w:rPr>
                <w:rFonts w:hint="default" w:ascii="Times New Roman" w:hAnsi="Times New Roman" w:cs="Times New Roman"/>
                <w:sz w:val="21"/>
                <w:szCs w:val="21"/>
              </w:rPr>
              <w:t>mg/m</w:t>
            </w:r>
            <w:r>
              <w:rPr>
                <w:rFonts w:hint="default" w:ascii="Times New Roman" w:hAnsi="Times New Roman" w:cs="Times New Roman"/>
                <w:sz w:val="21"/>
                <w:szCs w:val="21"/>
                <w:vertAlign w:val="superscript"/>
              </w:rPr>
              <w:t>3</w:t>
            </w:r>
          </w:p>
        </w:tc>
        <w:tc>
          <w:tcPr>
            <w:tcW w:w="155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《大气污染物综合排放标准》（GB16297-1996）表2中颗粒物无组织排放监控浓度限值</w:t>
            </w:r>
          </w:p>
        </w:tc>
        <w:tc>
          <w:tcPr>
            <w:tcW w:w="567"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eastAsia" w:ascii="Times New Roman" w:hAnsi="Times New Roman" w:cs="Times New Roman"/>
                <w:sz w:val="21"/>
                <w:szCs w:val="21"/>
                <w:lang w:eastAsia="zh-CN"/>
              </w:rPr>
              <w:t>落实</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76" w:hRule="atLeast"/>
          <w:jc w:val="center"/>
        </w:trPr>
        <w:tc>
          <w:tcPr>
            <w:tcW w:w="209"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87"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938"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车间密闭</w:t>
            </w:r>
          </w:p>
        </w:tc>
        <w:tc>
          <w:tcPr>
            <w:tcW w:w="11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厂界甲苯浓度≤0.6mg/m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厂界二甲苯浓度≤0.2mg/m</w:t>
            </w:r>
            <w:r>
              <w:rPr>
                <w:rFonts w:hint="default" w:ascii="Times New Roman" w:hAnsi="Times New Roman" w:cs="Times New Roman"/>
                <w:sz w:val="21"/>
                <w:szCs w:val="21"/>
                <w:vertAlign w:val="superscript"/>
              </w:rPr>
              <w:t>3</w:t>
            </w:r>
          </w:p>
        </w:tc>
        <w:tc>
          <w:tcPr>
            <w:tcW w:w="155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《工业企业挥发性有机物排放控制标准》（DB13/2322-2016）表2其他企业边界浓度限值</w:t>
            </w:r>
          </w:p>
        </w:tc>
        <w:tc>
          <w:tcPr>
            <w:tcW w:w="567"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1919" w:hRule="atLeast"/>
          <w:jc w:val="center"/>
        </w:trPr>
        <w:tc>
          <w:tcPr>
            <w:tcW w:w="209"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87"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938"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138"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厂界非甲烷总烃浓度≤2.0mg/m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；监控点处1h平局浓度≤6.0mg/m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监控点处任意一次浓度值≤20mg/m</w:t>
            </w:r>
            <w:r>
              <w:rPr>
                <w:rFonts w:hint="default" w:ascii="Times New Roman" w:hAnsi="Times New Roman" w:cs="Times New Roman"/>
                <w:sz w:val="21"/>
                <w:szCs w:val="21"/>
                <w:vertAlign w:val="superscript"/>
              </w:rPr>
              <w:t>3</w:t>
            </w:r>
          </w:p>
        </w:tc>
        <w:tc>
          <w:tcPr>
            <w:tcW w:w="1559"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《工业企业挥发性有机物排放控制标准》（DB13/2322-2016）表2其他企业边界浓度限值及《挥发性有机物无组织排放控制标准》（GB37822-2019）中附录A</w:t>
            </w:r>
          </w:p>
        </w:tc>
        <w:tc>
          <w:tcPr>
            <w:tcW w:w="567"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bl>
    <w:p>
      <w:pPr>
        <w:rPr>
          <w:rFonts w:hint="eastAsia" w:eastAsia="宋体"/>
          <w:lang w:eastAsia="zh-CN"/>
        </w:rPr>
      </w:pPr>
      <w:r>
        <w:rPr>
          <w:rFonts w:hint="eastAsia"/>
          <w:lang w:eastAsia="zh-CN"/>
        </w:rPr>
        <w:t>续上表</w:t>
      </w:r>
    </w:p>
    <w:tbl>
      <w:tblPr>
        <w:tblStyle w:val="22"/>
        <w:tblW w:w="5520" w:type="pct"/>
        <w:jc w:val="center"/>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Layout w:type="fixed"/>
        <w:tblCellMar>
          <w:top w:w="0" w:type="dxa"/>
          <w:left w:w="108" w:type="dxa"/>
          <w:bottom w:w="0" w:type="dxa"/>
          <w:right w:w="108" w:type="dxa"/>
        </w:tblCellMar>
      </w:tblPr>
      <w:tblGrid>
        <w:gridCol w:w="379"/>
        <w:gridCol w:w="1064"/>
        <w:gridCol w:w="1700"/>
        <w:gridCol w:w="2062"/>
        <w:gridCol w:w="2842"/>
        <w:gridCol w:w="1362"/>
      </w:tblGrid>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项目</w:t>
            </w: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污染源</w:t>
            </w:r>
          </w:p>
        </w:tc>
        <w:tc>
          <w:tcPr>
            <w:tcW w:w="903"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环保设施名称</w:t>
            </w:r>
          </w:p>
        </w:tc>
        <w:tc>
          <w:tcPr>
            <w:tcW w:w="109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验收指标</w:t>
            </w:r>
          </w:p>
        </w:tc>
        <w:tc>
          <w:tcPr>
            <w:tcW w:w="1510"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b/>
                <w:bCs/>
                <w:sz w:val="21"/>
                <w:szCs w:val="21"/>
              </w:rPr>
            </w:pPr>
            <w:r>
              <w:rPr>
                <w:rFonts w:hint="default" w:ascii="Times New Roman" w:hAnsi="Times New Roman" w:cs="Times New Roman"/>
                <w:b/>
                <w:bCs/>
                <w:sz w:val="21"/>
                <w:szCs w:val="21"/>
              </w:rPr>
              <w:t>验收标准</w:t>
            </w:r>
          </w:p>
        </w:tc>
        <w:tc>
          <w:tcPr>
            <w:tcW w:w="723"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b/>
                <w:bCs/>
                <w:sz w:val="21"/>
                <w:szCs w:val="21"/>
                <w:lang w:eastAsia="zh-CN"/>
              </w:rPr>
              <w:t>落实情况</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76" w:hRule="atLeast"/>
          <w:jc w:val="center"/>
        </w:trPr>
        <w:tc>
          <w:tcPr>
            <w:tcW w:w="201"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废水</w:t>
            </w: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生活污水</w:t>
            </w:r>
          </w:p>
        </w:tc>
        <w:tc>
          <w:tcPr>
            <w:tcW w:w="903"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经化粪池处理后排入沧州市运东污水处理厂</w:t>
            </w:r>
          </w:p>
        </w:tc>
        <w:tc>
          <w:tcPr>
            <w:tcW w:w="109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COD≤630mg/L</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BOD</w:t>
            </w:r>
            <w:r>
              <w:rPr>
                <w:rFonts w:hint="default" w:ascii="Times New Roman" w:hAnsi="Times New Roman" w:cs="Times New Roman"/>
                <w:sz w:val="21"/>
                <w:szCs w:val="21"/>
                <w:vertAlign w:val="subscript"/>
              </w:rPr>
              <w:t>5</w:t>
            </w:r>
            <w:r>
              <w:rPr>
                <w:rFonts w:hint="default" w:ascii="Times New Roman" w:hAnsi="Times New Roman" w:cs="Times New Roman"/>
                <w:sz w:val="21"/>
                <w:szCs w:val="21"/>
              </w:rPr>
              <w:t>≤220mg/L</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氨氮</w:t>
            </w:r>
            <w:r>
              <w:rPr>
                <w:rFonts w:hint="default" w:ascii="Times New Roman" w:hAnsi="Times New Roman" w:cs="Times New Roman"/>
                <w:sz w:val="21"/>
                <w:szCs w:val="21"/>
              </w:rPr>
              <w:t>≤</w:t>
            </w:r>
            <w:r>
              <w:rPr>
                <w:rFonts w:hint="default" w:ascii="Times New Roman" w:hAnsi="Times New Roman" w:cs="Times New Roman"/>
                <w:sz w:val="21"/>
                <w:szCs w:val="21"/>
                <w:lang w:val="en-US" w:eastAsia="zh-CN"/>
              </w:rPr>
              <w:t>55</w:t>
            </w:r>
            <w:r>
              <w:rPr>
                <w:rFonts w:hint="default" w:ascii="Times New Roman" w:hAnsi="Times New Roman" w:cs="Times New Roman"/>
                <w:sz w:val="21"/>
                <w:szCs w:val="21"/>
              </w:rPr>
              <w:t>mg/</w:t>
            </w:r>
            <w:r>
              <w:rPr>
                <w:rFonts w:hint="default" w:ascii="Times New Roman" w:hAnsi="Times New Roman" w:cs="Times New Roman"/>
                <w:sz w:val="21"/>
                <w:szCs w:val="21"/>
                <w:lang w:val="en-US" w:eastAsia="zh-CN"/>
              </w:rPr>
              <w:t>L</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SS≤150mg/L</w:t>
            </w:r>
          </w:p>
        </w:tc>
        <w:tc>
          <w:tcPr>
            <w:tcW w:w="1510"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kern w:val="2"/>
                <w:sz w:val="21"/>
                <w:szCs w:val="21"/>
                <w:lang w:val="en-US" w:eastAsia="zh-CN"/>
              </w:rPr>
              <w:t>《污水综合排放标准》 (GB8978-1996)表 4 三级标准及沧州市运东污水处理厂进水水质要求</w:t>
            </w:r>
          </w:p>
        </w:tc>
        <w:tc>
          <w:tcPr>
            <w:tcW w:w="723"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kern w:val="2"/>
                <w:sz w:val="21"/>
                <w:szCs w:val="21"/>
                <w:lang w:val="en-US" w:eastAsia="zh-CN"/>
              </w:rPr>
            </w:pPr>
            <w:r>
              <w:rPr>
                <w:rFonts w:hint="eastAsia" w:ascii="Times New Roman" w:hAnsi="Times New Roman" w:cs="Times New Roman"/>
                <w:kern w:val="2"/>
                <w:sz w:val="21"/>
                <w:szCs w:val="21"/>
                <w:lang w:val="en-US" w:eastAsia="zh-CN"/>
              </w:rPr>
              <w:t>现场不具备检测条件，未检测</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73" w:hRule="atLeast"/>
          <w:jc w:val="center"/>
        </w:trPr>
        <w:tc>
          <w:tcPr>
            <w:tcW w:w="201"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噪声</w:t>
            </w:r>
          </w:p>
        </w:tc>
        <w:tc>
          <w:tcPr>
            <w:tcW w:w="565"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生产设备</w:t>
            </w:r>
          </w:p>
        </w:tc>
        <w:tc>
          <w:tcPr>
            <w:tcW w:w="903"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基础减震、厂房隔声</w:t>
            </w:r>
          </w:p>
        </w:tc>
        <w:tc>
          <w:tcPr>
            <w:tcW w:w="109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昼间≤60dB(A)</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夜间≤50dB(A)</w:t>
            </w:r>
          </w:p>
        </w:tc>
        <w:tc>
          <w:tcPr>
            <w:tcW w:w="1510"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《工业企业厂界环境噪声排放标准》（GB12348-2008）</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中2类标准</w:t>
            </w:r>
          </w:p>
        </w:tc>
        <w:tc>
          <w:tcPr>
            <w:tcW w:w="723"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eastAsia" w:ascii="Times New Roman" w:hAnsi="Times New Roman" w:cs="Times New Roman"/>
                <w:sz w:val="21"/>
                <w:szCs w:val="21"/>
                <w:lang w:eastAsia="zh-CN"/>
              </w:rPr>
              <w:t>落实</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973"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昼间≤70dB(A)</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夜间≤55dB(A)</w:t>
            </w:r>
          </w:p>
        </w:tc>
        <w:tc>
          <w:tcPr>
            <w:tcW w:w="1510"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《工业企业厂界环境噪声排放标准》（GB12348-2008）</w:t>
            </w:r>
          </w:p>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中4类标准</w:t>
            </w: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固废</w:t>
            </w: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废零部件</w:t>
            </w:r>
          </w:p>
        </w:tc>
        <w:tc>
          <w:tcPr>
            <w:tcW w:w="903"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经收集后统一外售</w:t>
            </w:r>
          </w:p>
        </w:tc>
        <w:tc>
          <w:tcPr>
            <w:tcW w:w="1095"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不外排</w:t>
            </w:r>
          </w:p>
        </w:tc>
        <w:tc>
          <w:tcPr>
            <w:tcW w:w="1510"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《一般固体废物贮存、处置场污染控制标准》（GB18599-2001）及其2013年修改单</w:t>
            </w:r>
          </w:p>
        </w:tc>
        <w:tc>
          <w:tcPr>
            <w:tcW w:w="723"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eastAsia" w:ascii="Times New Roman" w:hAnsi="Times New Roman" w:cs="Times New Roman"/>
                <w:sz w:val="21"/>
                <w:szCs w:val="21"/>
                <w:lang w:eastAsia="zh-CN"/>
              </w:rPr>
              <w:t>均得到妥善安置</w:t>
            </w: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03"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焊渣</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废旧金属</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9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废砂纸</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9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废机油</w:t>
            </w:r>
          </w:p>
        </w:tc>
        <w:tc>
          <w:tcPr>
            <w:tcW w:w="903"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暂存在危废间，定期交由有资质单位处理</w:t>
            </w:r>
          </w:p>
        </w:tc>
        <w:tc>
          <w:tcPr>
            <w:tcW w:w="1095"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不外排</w:t>
            </w:r>
          </w:p>
        </w:tc>
        <w:tc>
          <w:tcPr>
            <w:tcW w:w="1510" w:type="pct"/>
            <w:vMerge w:val="restar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《危险废物贮存污染控制标准》（GB18597-2001）及修改单中的相关规定</w:t>
            </w: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废遮蔽纸</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废机油桶</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03"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漆渣</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49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废机滤</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废油漆桶</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废过滤棉</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11"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废活性炭</w:t>
            </w:r>
          </w:p>
        </w:tc>
        <w:tc>
          <w:tcPr>
            <w:tcW w:w="90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095"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1510"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r>
        <w:tblPrEx>
          <w:tblBorders>
            <w:top w:val="single" w:color="000000" w:sz="6" w:space="0"/>
            <w:left w:val="single" w:color="auto" w:sz="4" w:space="0"/>
            <w:bottom w:val="single" w:color="000000" w:sz="6" w:space="0"/>
            <w:right w:val="single" w:color="auto" w:sz="4" w:space="0"/>
            <w:insideH w:val="single" w:color="000000" w:sz="6" w:space="0"/>
            <w:insideV w:val="single" w:color="000000" w:sz="6" w:space="0"/>
          </w:tblBorders>
          <w:tblCellMar>
            <w:top w:w="0" w:type="dxa"/>
            <w:left w:w="108" w:type="dxa"/>
            <w:bottom w:w="0" w:type="dxa"/>
            <w:right w:w="108" w:type="dxa"/>
          </w:tblCellMar>
        </w:tblPrEx>
        <w:trPr>
          <w:trHeight w:val="555" w:hRule="atLeast"/>
          <w:jc w:val="center"/>
        </w:trPr>
        <w:tc>
          <w:tcPr>
            <w:tcW w:w="201"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c>
          <w:tcPr>
            <w:tcW w:w="56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生活垃圾</w:t>
            </w:r>
          </w:p>
        </w:tc>
        <w:tc>
          <w:tcPr>
            <w:tcW w:w="903"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交环卫部门清运</w:t>
            </w:r>
          </w:p>
        </w:tc>
        <w:tc>
          <w:tcPr>
            <w:tcW w:w="1095"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1510" w:type="pct"/>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723" w:type="pct"/>
            <w:vMerge w:val="continue"/>
            <w:noWrap w:val="0"/>
            <w:vAlign w:val="center"/>
          </w:tcPr>
          <w:p>
            <w:pPr>
              <w:pStyle w:val="66"/>
              <w:keepNext w:val="0"/>
              <w:keepLines w:val="0"/>
              <w:pageBreakBefore w:val="0"/>
              <w:widowControl w:val="0"/>
              <w:suppressLineNumbers w:val="0"/>
              <w:kinsoku/>
              <w:wordWrap/>
              <w:overflowPunct/>
              <w:topLinePunct w:val="0"/>
              <w:autoSpaceDE w:val="0"/>
              <w:autoSpaceDN w:val="0"/>
              <w:bidi w:val="0"/>
              <w:adjustRightInd w:val="0"/>
              <w:snapToGrid/>
              <w:spacing w:before="0" w:beforeAutospacing="0" w:after="0" w:afterAutospacing="0" w:line="240" w:lineRule="exact"/>
              <w:ind w:left="0" w:right="0"/>
              <w:textAlignment w:val="center"/>
              <w:rPr>
                <w:rFonts w:hint="default" w:ascii="Times New Roman" w:hAnsi="Times New Roman" w:cs="Times New Roman"/>
                <w:sz w:val="21"/>
                <w:szCs w:val="21"/>
              </w:rPr>
            </w:pPr>
          </w:p>
        </w:tc>
      </w:tr>
    </w:tbl>
    <w:p>
      <w:pPr>
        <w:pStyle w:val="4"/>
        <w:keepNext w:val="0"/>
        <w:keepLines w:val="0"/>
        <w:pageBreakBefore w:val="0"/>
        <w:widowControl w:val="0"/>
        <w:kinsoku/>
        <w:wordWrap/>
        <w:overflowPunct/>
        <w:topLinePunct w:val="0"/>
        <w:autoSpaceDE/>
        <w:autoSpaceDN/>
        <w:bidi w:val="0"/>
        <w:spacing w:line="360" w:lineRule="auto"/>
        <w:textAlignment w:val="auto"/>
        <w:rPr>
          <w:rFonts w:hint="default" w:ascii="Times New Roman" w:hAnsi="Times New Roman" w:eastAsia="宋体" w:cs="Times New Roman"/>
        </w:rPr>
      </w:pPr>
      <w:bookmarkStart w:id="132" w:name="_Toc24447"/>
      <w:bookmarkStart w:id="133" w:name="_Toc1887"/>
      <w:bookmarkStart w:id="134" w:name="_Toc1250"/>
      <w:bookmarkStart w:id="135" w:name="_Toc5108"/>
      <w:r>
        <w:rPr>
          <w:rFonts w:hint="default" w:ascii="Times New Roman" w:hAnsi="Times New Roman" w:eastAsia="宋体" w:cs="Times New Roman"/>
        </w:rPr>
        <w:t>2.10 验收范围及内容</w:t>
      </w:r>
      <w:bookmarkEnd w:id="132"/>
      <w:bookmarkEnd w:id="133"/>
      <w:bookmarkEnd w:id="134"/>
      <w:bookmarkEnd w:id="135"/>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rPr>
      </w:pPr>
      <w:r>
        <w:rPr>
          <w:rFonts w:hint="default" w:ascii="Times New Roman" w:hAnsi="Times New Roman" w:eastAsia="宋体" w:cs="Times New Roman"/>
          <w:sz w:val="24"/>
          <w:szCs w:val="24"/>
        </w:rPr>
        <w:t>项目位于</w:t>
      </w:r>
      <w:r>
        <w:rPr>
          <w:rFonts w:hint="eastAsia"/>
          <w:sz w:val="24"/>
          <w:szCs w:val="24"/>
        </w:rPr>
        <w:t>河北省沧州市新华区3</w:t>
      </w:r>
      <w:r>
        <w:rPr>
          <w:sz w:val="24"/>
          <w:szCs w:val="24"/>
        </w:rPr>
        <w:t>07</w:t>
      </w:r>
      <w:r>
        <w:rPr>
          <w:rFonts w:hint="eastAsia"/>
          <w:sz w:val="24"/>
          <w:szCs w:val="24"/>
        </w:rPr>
        <w:t>国道与清池大道交汇处北1</w:t>
      </w:r>
      <w:r>
        <w:rPr>
          <w:sz w:val="24"/>
          <w:szCs w:val="24"/>
        </w:rPr>
        <w:t>00</w:t>
      </w:r>
      <w:r>
        <w:rPr>
          <w:rFonts w:hint="eastAsia"/>
          <w:sz w:val="24"/>
          <w:szCs w:val="24"/>
        </w:rPr>
        <w:t>米路东侧</w:t>
      </w:r>
      <w:r>
        <w:rPr>
          <w:rFonts w:hint="eastAsia" w:ascii="Times New Roman" w:hAnsi="Times New Roman" w:cs="Times New Roman"/>
          <w:spacing w:val="0"/>
          <w:kern w:val="0"/>
          <w:sz w:val="24"/>
          <w:szCs w:val="24"/>
          <w:lang w:val="en-US" w:eastAsia="zh-CN"/>
        </w:rPr>
        <w:t>，主要</w:t>
      </w:r>
      <w:r>
        <w:rPr>
          <w:rFonts w:hint="eastAsia" w:ascii="Times New Roman" w:hAnsi="Times New Roman" w:eastAsia="宋体" w:cs="Times New Roman"/>
          <w:sz w:val="24"/>
          <w:szCs w:val="24"/>
          <w:lang w:val="en-US" w:eastAsia="zh-CN"/>
        </w:rPr>
        <w:t>为建设沧州市新华区路捷汽车维修服务中心汽车维修项目</w:t>
      </w:r>
      <w:r>
        <w:rPr>
          <w:rFonts w:hint="default" w:ascii="Times New Roman" w:hAnsi="Times New Roman" w:eastAsia="宋体" w:cs="Times New Roman"/>
          <w:sz w:val="24"/>
          <w:szCs w:val="24"/>
          <w:lang w:val="en-US" w:eastAsia="zh-CN"/>
        </w:rPr>
        <w:t>。建设单位按照环评要求落实各项污染防治措施。</w:t>
      </w:r>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eastAsia" w:ascii="Times New Roman" w:hAnsi="Times New Roman" w:eastAsia="宋体" w:cs="Times New Roman"/>
          <w:color w:val="auto"/>
          <w:sz w:val="24"/>
          <w:szCs w:val="24"/>
          <w:lang w:val="en-US" w:eastAsia="zh-CN"/>
        </w:rPr>
      </w:pPr>
      <w:r>
        <w:rPr>
          <w:rFonts w:hint="default"/>
          <w:sz w:val="24"/>
          <w:lang w:val="en-US" w:eastAsia="zh-CN"/>
        </w:rPr>
        <w:t>①废气—</w:t>
      </w:r>
      <w:r>
        <w:rPr>
          <w:rFonts w:hint="default" w:ascii="Times New Roman" w:hAnsi="Times New Roman" w:eastAsia="宋体" w:cs="Times New Roman"/>
          <w:color w:val="auto"/>
          <w:sz w:val="24"/>
          <w:szCs w:val="24"/>
          <w:lang w:val="en-US" w:eastAsia="zh-CN"/>
        </w:rPr>
        <w:t>项目</w:t>
      </w:r>
      <w:r>
        <w:rPr>
          <w:rFonts w:hint="eastAsia" w:ascii="Times New Roman" w:hAnsi="Times New Roman" w:eastAsia="宋体" w:cs="Times New Roman"/>
          <w:color w:val="auto"/>
          <w:sz w:val="24"/>
          <w:szCs w:val="24"/>
          <w:lang w:val="en-US" w:eastAsia="zh-CN"/>
        </w:rPr>
        <w:t>废气主要为调漆、喷漆和烘烤工序产生废气，主要污染物为颗粒物、甲苯、二甲苯和非甲烷总烃；打磨、焊接工序废气，主要污染物为颗粒物。</w:t>
      </w:r>
    </w:p>
    <w:p>
      <w:pPr>
        <w:adjustRightInd w:val="0"/>
        <w:snapToGrid w:val="0"/>
        <w:spacing w:line="360" w:lineRule="auto"/>
        <w:ind w:firstLine="480" w:firstLineChars="200"/>
        <w:jc w:val="left"/>
        <w:rPr>
          <w:rFonts w:hint="default"/>
          <w:sz w:val="24"/>
          <w:lang w:val="en-US" w:eastAsia="zh-CN"/>
        </w:rPr>
      </w:pPr>
      <w:r>
        <w:rPr>
          <w:rFonts w:hint="eastAsia" w:ascii="Times New Roman" w:hAnsi="Times New Roman" w:eastAsia="宋体" w:cs="Times New Roman"/>
          <w:color w:val="auto"/>
          <w:sz w:val="24"/>
          <w:szCs w:val="24"/>
          <w:lang w:val="en-US" w:eastAsia="zh-CN"/>
        </w:rPr>
        <w:t>调漆、喷漆和烘烤工序废气经</w:t>
      </w:r>
      <w:r>
        <w:rPr>
          <w:rFonts w:hint="eastAsia" w:ascii="Times New Roman" w:hAnsi="Times New Roman" w:cs="Times New Roman"/>
          <w:color w:val="auto"/>
          <w:sz w:val="24"/>
          <w:szCs w:val="24"/>
          <w:lang w:val="en-US" w:eastAsia="zh-CN"/>
        </w:rPr>
        <w:t>过滤棉+</w:t>
      </w:r>
      <w:r>
        <w:rPr>
          <w:rFonts w:hint="eastAsia" w:ascii="Times New Roman" w:hAnsi="Times New Roman" w:cs="Times New Roman"/>
          <w:color w:val="auto"/>
          <w:sz w:val="24"/>
          <w:szCs w:val="24"/>
          <w:lang w:eastAsia="zh-CN"/>
        </w:rPr>
        <w:t>光氧催化装置+活性炭吸附装置</w:t>
      </w:r>
      <w:r>
        <w:rPr>
          <w:rFonts w:hint="eastAsia" w:ascii="Times New Roman" w:hAnsi="Times New Roman" w:eastAsia="宋体" w:cs="Times New Roman"/>
          <w:color w:val="auto"/>
          <w:sz w:val="24"/>
          <w:szCs w:val="24"/>
          <w:lang w:val="en-US" w:eastAsia="zh-CN"/>
        </w:rPr>
        <w:t>处理后，</w:t>
      </w:r>
      <w:r>
        <w:rPr>
          <w:rFonts w:hint="default" w:ascii="Times New Roman" w:hAnsi="Times New Roman" w:eastAsia="宋体" w:cs="Times New Roman"/>
          <w:color w:val="auto"/>
          <w:sz w:val="24"/>
          <w:szCs w:val="24"/>
          <w:lang w:val="en-US" w:eastAsia="zh-CN"/>
        </w:rPr>
        <w:t>由1根15m高排气筒排放</w:t>
      </w:r>
      <w:r>
        <w:rPr>
          <w:rFonts w:hint="eastAsia" w:ascii="Times New Roman" w:hAnsi="Times New Roman" w:eastAsia="宋体" w:cs="Times New Roman"/>
          <w:color w:val="auto"/>
          <w:sz w:val="24"/>
          <w:szCs w:val="24"/>
          <w:lang w:val="en-US" w:eastAsia="zh-CN"/>
        </w:rPr>
        <w:t>；焊接烟尘经焊烟净化器处理后无组织排放；打磨产生的废气经焊烟净化器处理后无组排放；项目部分汽车在打磨腻子的过程中会也会产生少量的打磨废气，此工序产生的废气经自带收尘设备收集后无组织排放。</w:t>
      </w:r>
      <w:r>
        <w:rPr>
          <w:rFonts w:hint="default" w:ascii="Times New Roman" w:hAnsi="Times New Roman" w:eastAsia="宋体" w:cs="Times New Roman"/>
          <w:color w:val="auto"/>
          <w:sz w:val="24"/>
          <w:szCs w:val="24"/>
          <w:lang w:val="en-US" w:eastAsia="zh-CN"/>
        </w:rPr>
        <w:t>未收集的废气经车间无组织排放</w:t>
      </w:r>
      <w:r>
        <w:rPr>
          <w:rFonts w:hint="default"/>
          <w:sz w:val="24"/>
          <w:lang w:val="en-US" w:eastAsia="zh-CN"/>
        </w:rPr>
        <w:t>，为具体检测内容。</w:t>
      </w:r>
    </w:p>
    <w:p>
      <w:pPr>
        <w:adjustRightInd w:val="0"/>
        <w:snapToGrid w:val="0"/>
        <w:spacing w:line="480" w:lineRule="atLeast"/>
        <w:ind w:firstLine="480" w:firstLineChars="200"/>
        <w:rPr>
          <w:rFonts w:hint="default" w:cs="Times New Roman"/>
          <w:sz w:val="24"/>
          <w:lang w:val="en-US" w:eastAsia="zh-CN"/>
        </w:rPr>
      </w:pPr>
      <w:r>
        <w:rPr>
          <w:rFonts w:hint="default" w:cs="Times New Roman"/>
          <w:sz w:val="24"/>
          <w:lang w:val="en-US" w:eastAsia="zh-CN"/>
        </w:rPr>
        <w:t>②废水—</w:t>
      </w:r>
      <w:r>
        <w:rPr>
          <w:sz w:val="24"/>
        </w:rPr>
        <w:t>项目生产过程无生产废水产生，主要为办公生活污水，办公生活污水经厂区化粪池处理后排入市政管网，最终进入沧州市运东污水处理厂进行处理</w:t>
      </w:r>
      <w:r>
        <w:rPr>
          <w:rFonts w:hint="default" w:cs="Times New Roman"/>
          <w:sz w:val="24"/>
          <w:lang w:val="en-US" w:eastAsia="zh-CN"/>
        </w:rPr>
        <w:t>，为检查内容。</w:t>
      </w:r>
    </w:p>
    <w:p>
      <w:pPr>
        <w:adjustRightInd w:val="0"/>
        <w:snapToGrid w:val="0"/>
        <w:spacing w:line="480" w:lineRule="atLeast"/>
        <w:ind w:firstLine="480" w:firstLineChars="200"/>
        <w:rPr>
          <w:rFonts w:hint="default"/>
          <w:sz w:val="24"/>
          <w:lang w:val="en-US" w:eastAsia="zh-CN"/>
        </w:rPr>
      </w:pPr>
      <w:r>
        <w:rPr>
          <w:rFonts w:hint="default"/>
          <w:sz w:val="24"/>
          <w:lang w:eastAsia="zh-CN"/>
        </w:rPr>
        <w:t>③噪声—</w:t>
      </w:r>
      <w:r>
        <w:rPr>
          <w:rFonts w:hint="default" w:ascii="Times New Roman" w:hAnsi="Times New Roman" w:eastAsia="宋体" w:cs="Times New Roman"/>
          <w:color w:val="auto"/>
          <w:sz w:val="24"/>
          <w:szCs w:val="24"/>
          <w:lang w:val="en-US" w:eastAsia="zh-CN"/>
        </w:rPr>
        <w:t>项目噪声来源主要为</w:t>
      </w:r>
      <w:r>
        <w:rPr>
          <w:rFonts w:hint="eastAsia"/>
          <w:sz w:val="24"/>
        </w:rPr>
        <w:t>喷枪、焊机、空气压缩机</w:t>
      </w:r>
      <w:r>
        <w:rPr>
          <w:sz w:val="24"/>
        </w:rPr>
        <w:t>等设备产生</w:t>
      </w:r>
      <w:r>
        <w:rPr>
          <w:rFonts w:hint="eastAsia"/>
          <w:sz w:val="24"/>
          <w:lang w:eastAsia="zh-CN"/>
        </w:rPr>
        <w:t>的</w:t>
      </w:r>
      <w:r>
        <w:rPr>
          <w:sz w:val="24"/>
        </w:rPr>
        <w:t>噪声</w:t>
      </w:r>
      <w:r>
        <w:rPr>
          <w:rFonts w:hint="eastAsia" w:ascii="Times New Roman" w:hAnsi="Times New Roman" w:eastAsia="宋体" w:cs="Times New Roman"/>
          <w:color w:val="auto"/>
          <w:sz w:val="24"/>
          <w:szCs w:val="24"/>
          <w:lang w:val="en-US" w:eastAsia="zh-CN"/>
        </w:rPr>
        <w:t>。项目</w:t>
      </w:r>
      <w:r>
        <w:rPr>
          <w:sz w:val="24"/>
        </w:rPr>
        <w:t>通过优先选用低噪声设备，车间内合理布置并做基础减振，同时严格生产运行时间，噪声再经距离衰减</w:t>
      </w:r>
      <w:r>
        <w:rPr>
          <w:rFonts w:hint="eastAsia" w:ascii="Times New Roman" w:hAnsi="Times New Roman" w:eastAsia="宋体" w:cs="Times New Roman"/>
          <w:color w:val="auto"/>
          <w:sz w:val="24"/>
          <w:szCs w:val="24"/>
          <w:lang w:val="en-US" w:eastAsia="zh-CN"/>
        </w:rPr>
        <w:t>等</w:t>
      </w:r>
      <w:r>
        <w:rPr>
          <w:rFonts w:hint="eastAsia" w:ascii="Times New Roman" w:hAnsi="Times New Roman" w:eastAsia="宋体" w:cs="Times New Roman"/>
          <w:color w:val="auto"/>
          <w:sz w:val="24"/>
          <w:szCs w:val="24"/>
          <w:lang w:eastAsia="zh-CN"/>
        </w:rPr>
        <w:t>降噪措施后排入周边环境</w:t>
      </w:r>
      <w:r>
        <w:rPr>
          <w:rFonts w:hint="eastAsia"/>
          <w:sz w:val="24"/>
          <w:lang w:eastAsia="zh-CN"/>
        </w:rPr>
        <w:t>，</w:t>
      </w:r>
      <w:r>
        <w:rPr>
          <w:rFonts w:hint="default"/>
          <w:sz w:val="24"/>
          <w:lang w:eastAsia="zh-CN"/>
        </w:rPr>
        <w:t>为具体检测内</w:t>
      </w:r>
      <w:r>
        <w:rPr>
          <w:rFonts w:hint="default"/>
          <w:sz w:val="24"/>
          <w:lang w:val="en-US" w:eastAsia="zh-CN"/>
        </w:rPr>
        <w:t>容。</w:t>
      </w:r>
    </w:p>
    <w:p>
      <w:pPr>
        <w:adjustRightInd w:val="0"/>
        <w:snapToGrid w:val="0"/>
        <w:spacing w:line="480" w:lineRule="atLeast"/>
        <w:ind w:firstLine="480" w:firstLineChars="200"/>
        <w:rPr>
          <w:rFonts w:hint="default"/>
          <w:sz w:val="24"/>
          <w:lang w:eastAsia="zh-CN"/>
        </w:rPr>
      </w:pPr>
      <w:r>
        <w:rPr>
          <w:rFonts w:hint="default"/>
          <w:sz w:val="24"/>
          <w:lang w:val="en-US" w:eastAsia="zh-CN"/>
        </w:rPr>
        <w:t>④固体废物—</w:t>
      </w:r>
      <w:r>
        <w:rPr>
          <w:sz w:val="24"/>
        </w:rPr>
        <w:t>项目产生的固体废物主要为废零部件、焊渣、</w:t>
      </w:r>
      <w:r>
        <w:rPr>
          <w:rFonts w:hint="eastAsia"/>
          <w:sz w:val="24"/>
        </w:rPr>
        <w:t>废旧金属和废砂纸</w:t>
      </w:r>
      <w:r>
        <w:rPr>
          <w:sz w:val="24"/>
        </w:rPr>
        <w:t>为一般工业固废，经收集后外售；</w:t>
      </w:r>
      <w:bookmarkStart w:id="136" w:name="_Hlk46389838"/>
      <w:r>
        <w:rPr>
          <w:sz w:val="24"/>
        </w:rPr>
        <w:t>废机油、废机滤、废油漆桶、废机油桶、废过滤棉、废活性炭、漆渣为危险废物</w:t>
      </w:r>
      <w:bookmarkEnd w:id="136"/>
      <w:r>
        <w:rPr>
          <w:sz w:val="24"/>
        </w:rPr>
        <w:t>，收集后暂存在厂区危废间内，委托有资质单位处置。</w:t>
      </w:r>
      <w:r>
        <w:rPr>
          <w:kern w:val="0"/>
          <w:sz w:val="24"/>
        </w:rPr>
        <w:t>职工办公生活产生的生活垃圾，由环卫部门定期收集后处理</w:t>
      </w:r>
      <w:r>
        <w:rPr>
          <w:rFonts w:hint="default"/>
          <w:sz w:val="24"/>
          <w:lang w:val="en-US" w:eastAsia="zh-CN"/>
        </w:rPr>
        <w:t>，</w:t>
      </w:r>
      <w:r>
        <w:rPr>
          <w:rFonts w:hint="default"/>
          <w:sz w:val="24"/>
          <w:lang w:eastAsia="zh-CN"/>
        </w:rPr>
        <w:t>为检查内容。</w:t>
      </w:r>
    </w:p>
    <w:p>
      <w:pPr>
        <w:adjustRightInd w:val="0"/>
        <w:snapToGrid w:val="0"/>
        <w:spacing w:line="480" w:lineRule="atLeast"/>
        <w:ind w:firstLine="480" w:firstLineChars="200"/>
        <w:rPr>
          <w:rFonts w:hint="default"/>
          <w:sz w:val="24"/>
        </w:rPr>
      </w:pPr>
      <w:r>
        <w:rPr>
          <w:rFonts w:hint="default"/>
          <w:sz w:val="24"/>
          <w:lang w:eastAsia="zh-CN"/>
        </w:rPr>
        <w:t>⑤工程环评及环评审批意见落实情况、环保设施的建设运行情况、环</w:t>
      </w:r>
      <w:r>
        <w:rPr>
          <w:rFonts w:hint="default"/>
          <w:sz w:val="24"/>
        </w:rPr>
        <w:t>保机构及规章制度建设情况等，为本工程验收报告的检查内容。</w:t>
      </w:r>
    </w:p>
    <w:p>
      <w:pPr>
        <w:pStyle w:val="3"/>
        <w:rPr>
          <w:rFonts w:hint="default" w:ascii="Times New Roman" w:hAnsi="Times New Roman" w:eastAsia="宋体" w:cs="Times New Roman"/>
        </w:rPr>
      </w:pPr>
      <w:bookmarkStart w:id="137" w:name="_Toc21809"/>
      <w:r>
        <w:rPr>
          <w:rFonts w:hint="default" w:ascii="Times New Roman" w:hAnsi="Times New Roman" w:eastAsia="宋体" w:cs="Times New Roman"/>
        </w:rPr>
        <w:br w:type="page"/>
      </w:r>
    </w:p>
    <w:p>
      <w:pPr>
        <w:pStyle w:val="3"/>
        <w:rPr>
          <w:rFonts w:hint="default" w:ascii="Times New Roman" w:hAnsi="Times New Roman" w:eastAsia="宋体" w:cs="Times New Roman"/>
        </w:rPr>
      </w:pPr>
      <w:bookmarkStart w:id="138" w:name="_Toc15874"/>
      <w:bookmarkStart w:id="139" w:name="_Toc8056"/>
      <w:bookmarkStart w:id="140" w:name="_Toc12475"/>
      <w:r>
        <w:rPr>
          <w:rFonts w:hint="default" w:ascii="Times New Roman" w:hAnsi="Times New Roman" w:eastAsia="宋体" w:cs="Times New Roman"/>
        </w:rPr>
        <w:t>3 主要污染源及治理措施</w:t>
      </w:r>
      <w:bookmarkEnd w:id="137"/>
      <w:bookmarkEnd w:id="138"/>
      <w:bookmarkEnd w:id="139"/>
      <w:bookmarkEnd w:id="140"/>
    </w:p>
    <w:p>
      <w:pPr>
        <w:pStyle w:val="4"/>
        <w:rPr>
          <w:rFonts w:hint="default" w:ascii="Times New Roman" w:hAnsi="Times New Roman" w:eastAsia="宋体" w:cs="Times New Roman"/>
        </w:rPr>
      </w:pPr>
      <w:bookmarkStart w:id="141" w:name="_Toc17223"/>
      <w:bookmarkStart w:id="142" w:name="_Toc10538"/>
      <w:bookmarkStart w:id="143" w:name="_Toc381"/>
      <w:bookmarkStart w:id="144" w:name="_Toc31233"/>
      <w:r>
        <w:rPr>
          <w:rFonts w:hint="default" w:ascii="Times New Roman" w:hAnsi="Times New Roman" w:eastAsia="宋体" w:cs="Times New Roman"/>
        </w:rPr>
        <w:t>3.1 施工期主要污染源及治理措施</w:t>
      </w:r>
      <w:bookmarkEnd w:id="141"/>
      <w:bookmarkEnd w:id="142"/>
      <w:bookmarkEnd w:id="143"/>
      <w:bookmarkEnd w:id="144"/>
    </w:p>
    <w:p>
      <w:pPr>
        <w:pStyle w:val="49"/>
        <w:keepNext w:val="0"/>
        <w:keepLines w:val="0"/>
        <w:pageBreakBefore w:val="0"/>
        <w:widowControl w:val="0"/>
        <w:kinsoku/>
        <w:wordWrap/>
        <w:overflowPunct/>
        <w:topLinePunct w:val="0"/>
        <w:autoSpaceDE/>
        <w:autoSpaceDN/>
        <w:bidi w:val="0"/>
        <w:adjustRightInd/>
        <w:snapToGrid/>
        <w:spacing w:line="365" w:lineRule="auto"/>
        <w:ind w:left="6" w:right="-17" w:firstLine="482"/>
        <w:textAlignment w:val="auto"/>
        <w:rPr>
          <w:rFonts w:hint="default" w:eastAsia="宋体"/>
          <w:spacing w:val="-3"/>
          <w:sz w:val="24"/>
          <w:highlight w:val="none"/>
          <w:lang w:val="en-US" w:eastAsia="zh-CN"/>
        </w:rPr>
      </w:pPr>
      <w:r>
        <w:rPr>
          <w:sz w:val="24"/>
        </w:rPr>
        <w:t>本项目租用现有厂房，施工期仅涉及设备安装，无土建工程</w:t>
      </w:r>
      <w:r>
        <w:rPr>
          <w:rFonts w:hint="eastAsia"/>
          <w:spacing w:val="-3"/>
          <w:sz w:val="24"/>
          <w:highlight w:val="none"/>
          <w:lang w:eastAsia="zh-CN"/>
        </w:rPr>
        <w:t>，主要为设备的安装和调试，期间会产生瞬时噪声，施工期结束影响即可消失，工程无其他环境影响。</w:t>
      </w:r>
    </w:p>
    <w:p>
      <w:pPr>
        <w:pStyle w:val="4"/>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45" w:name="_Toc23781"/>
      <w:bookmarkStart w:id="146" w:name="_Toc25292"/>
      <w:bookmarkStart w:id="147" w:name="_Toc22056"/>
      <w:bookmarkStart w:id="148" w:name="_Toc31419"/>
      <w:r>
        <w:rPr>
          <w:rFonts w:hint="default" w:ascii="Times New Roman" w:hAnsi="Times New Roman" w:eastAsia="宋体" w:cs="Times New Roman"/>
        </w:rPr>
        <w:t>3.2 运行期主要污染源及治理措施</w:t>
      </w:r>
      <w:bookmarkEnd w:id="145"/>
      <w:bookmarkEnd w:id="146"/>
      <w:bookmarkEnd w:id="147"/>
      <w:bookmarkEnd w:id="148"/>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49" w:name="_Toc497001461"/>
      <w:bookmarkStart w:id="150" w:name="_Toc496979024"/>
      <w:bookmarkStart w:id="151" w:name="_Toc8094"/>
      <w:bookmarkStart w:id="152" w:name="_Toc8524"/>
      <w:bookmarkStart w:id="153" w:name="_Toc3760"/>
      <w:bookmarkStart w:id="154" w:name="_Toc13064"/>
      <w:r>
        <w:rPr>
          <w:rFonts w:hint="default" w:ascii="Times New Roman" w:hAnsi="Times New Roman" w:eastAsia="宋体" w:cs="Times New Roman"/>
        </w:rPr>
        <w:t>3.2.1 废</w:t>
      </w:r>
      <w:bookmarkEnd w:id="149"/>
      <w:bookmarkEnd w:id="150"/>
      <w:r>
        <w:rPr>
          <w:rFonts w:hint="default" w:ascii="Times New Roman" w:hAnsi="Times New Roman" w:eastAsia="宋体" w:cs="Times New Roman"/>
        </w:rPr>
        <w:t>气</w:t>
      </w:r>
      <w:bookmarkEnd w:id="151"/>
      <w:bookmarkEnd w:id="152"/>
      <w:bookmarkEnd w:id="153"/>
      <w:bookmarkEnd w:id="154"/>
    </w:p>
    <w:p>
      <w:pPr>
        <w:adjustRightInd w:val="0"/>
        <w:snapToGrid w:val="0"/>
        <w:spacing w:line="360" w:lineRule="auto"/>
        <w:ind w:firstLine="480" w:firstLineChars="200"/>
        <w:jc w:val="left"/>
        <w:rPr>
          <w:rFonts w:hint="eastAsia" w:ascii="Times New Roman" w:hAnsi="Times New Roman" w:eastAsia="宋体" w:cs="Times New Roman"/>
          <w:color w:val="auto"/>
          <w:sz w:val="24"/>
          <w:szCs w:val="24"/>
          <w:lang w:val="en-US" w:eastAsia="zh-CN"/>
        </w:rPr>
      </w:pPr>
      <w:bookmarkStart w:id="155" w:name="_Toc14677"/>
      <w:r>
        <w:rPr>
          <w:rFonts w:hint="default" w:ascii="Times New Roman" w:hAnsi="Times New Roman" w:eastAsia="宋体" w:cs="Times New Roman"/>
          <w:color w:val="auto"/>
          <w:sz w:val="24"/>
          <w:szCs w:val="24"/>
          <w:lang w:val="en-US" w:eastAsia="zh-CN"/>
        </w:rPr>
        <w:t>项目</w:t>
      </w:r>
      <w:r>
        <w:rPr>
          <w:rFonts w:hint="eastAsia" w:ascii="Times New Roman" w:hAnsi="Times New Roman" w:eastAsia="宋体" w:cs="Times New Roman"/>
          <w:color w:val="auto"/>
          <w:sz w:val="24"/>
          <w:szCs w:val="24"/>
          <w:lang w:val="en-US" w:eastAsia="zh-CN"/>
        </w:rPr>
        <w:t>废气主要为调漆、喷漆和烘烤工序产生废气，主要污染物为颗粒物、甲苯、二甲苯和非甲烷总烃；打磨、焊接工序废气，主要污染物为颗粒物。</w:t>
      </w:r>
    </w:p>
    <w:p>
      <w:pPr>
        <w:adjustRightInd w:val="0"/>
        <w:snapToGrid w:val="0"/>
        <w:spacing w:line="360" w:lineRule="auto"/>
        <w:ind w:firstLine="480" w:firstLineChars="200"/>
        <w:jc w:val="left"/>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color w:val="auto"/>
          <w:sz w:val="24"/>
          <w:szCs w:val="24"/>
          <w:lang w:val="en-US" w:eastAsia="zh-CN"/>
        </w:rPr>
        <w:t>调漆、喷漆和烘烤工序废气经</w:t>
      </w:r>
      <w:r>
        <w:rPr>
          <w:rFonts w:hint="eastAsia" w:ascii="Times New Roman" w:hAnsi="Times New Roman" w:cs="Times New Roman"/>
          <w:color w:val="auto"/>
          <w:sz w:val="24"/>
          <w:szCs w:val="24"/>
          <w:lang w:val="en-US" w:eastAsia="zh-CN"/>
        </w:rPr>
        <w:t>过滤棉+</w:t>
      </w:r>
      <w:r>
        <w:rPr>
          <w:rFonts w:hint="eastAsia" w:ascii="Times New Roman" w:hAnsi="Times New Roman" w:cs="Times New Roman"/>
          <w:color w:val="auto"/>
          <w:sz w:val="24"/>
          <w:szCs w:val="24"/>
          <w:lang w:eastAsia="zh-CN"/>
        </w:rPr>
        <w:t>光氧催化装置+活性炭吸附装置</w:t>
      </w:r>
      <w:r>
        <w:rPr>
          <w:rFonts w:hint="eastAsia" w:ascii="Times New Roman" w:hAnsi="Times New Roman" w:eastAsia="宋体" w:cs="Times New Roman"/>
          <w:color w:val="auto"/>
          <w:sz w:val="24"/>
          <w:szCs w:val="24"/>
          <w:lang w:val="en-US" w:eastAsia="zh-CN"/>
        </w:rPr>
        <w:t>处理后，</w:t>
      </w:r>
      <w:r>
        <w:rPr>
          <w:rFonts w:hint="default" w:ascii="Times New Roman" w:hAnsi="Times New Roman" w:eastAsia="宋体" w:cs="Times New Roman"/>
          <w:color w:val="auto"/>
          <w:sz w:val="24"/>
          <w:szCs w:val="24"/>
          <w:lang w:val="en-US" w:eastAsia="zh-CN"/>
        </w:rPr>
        <w:t>由1根15m高排气筒排放</w:t>
      </w:r>
      <w:r>
        <w:rPr>
          <w:rFonts w:hint="eastAsia" w:ascii="Times New Roman" w:hAnsi="Times New Roman" w:eastAsia="宋体" w:cs="Times New Roman"/>
          <w:color w:val="auto"/>
          <w:sz w:val="24"/>
          <w:szCs w:val="24"/>
          <w:lang w:val="en-US" w:eastAsia="zh-CN"/>
        </w:rPr>
        <w:t>；焊接烟尘经焊烟净化器处理后无组织排放；打磨产生的废气经焊烟净化器处理后无组排放；项目部分汽车在打磨腻子的过程中会也会产生少量的打磨废气，此工序产生的废气经自带收尘设备收集后无组织排放。</w:t>
      </w:r>
      <w:r>
        <w:rPr>
          <w:rFonts w:hint="default" w:ascii="Times New Roman" w:hAnsi="Times New Roman" w:eastAsia="宋体" w:cs="Times New Roman"/>
          <w:color w:val="auto"/>
          <w:sz w:val="24"/>
          <w:szCs w:val="24"/>
          <w:lang w:val="en-US" w:eastAsia="zh-CN"/>
        </w:rPr>
        <w:t>未收集的废气经车间无组织排放。</w:t>
      </w:r>
      <w:r>
        <w:rPr>
          <w:rFonts w:hint="default" w:ascii="Times New Roman" w:hAnsi="Times New Roman" w:eastAsia="宋体" w:cs="Times New Roman"/>
          <w:kern w:val="2"/>
          <w:sz w:val="24"/>
          <w:szCs w:val="24"/>
          <w:lang w:val="en-US" w:eastAsia="zh-CN" w:bidi="ar-SA"/>
        </w:rPr>
        <w:t>项目废气治理</w:t>
      </w:r>
      <w:r>
        <w:rPr>
          <w:rFonts w:hint="default" w:ascii="Times New Roman" w:hAnsi="Times New Roman" w:cs="Times New Roman"/>
          <w:kern w:val="2"/>
          <w:sz w:val="24"/>
          <w:szCs w:val="24"/>
          <w:lang w:val="en-US" w:eastAsia="zh-CN" w:bidi="ar-SA"/>
        </w:rPr>
        <w:t>设</w:t>
      </w:r>
      <w:r>
        <w:rPr>
          <w:rFonts w:hint="default" w:ascii="Times New Roman" w:hAnsi="Times New Roman" w:eastAsia="宋体" w:cs="Times New Roman"/>
          <w:kern w:val="2"/>
          <w:sz w:val="24"/>
          <w:szCs w:val="24"/>
          <w:lang w:val="en-US" w:eastAsia="zh-CN" w:bidi="ar-SA"/>
        </w:rPr>
        <w:t>施现场图如下图3-1所示。</w:t>
      </w:r>
      <w:bookmarkEnd w:id="155"/>
      <w:bookmarkStart w:id="156" w:name="_Toc9267"/>
      <w:bookmarkStart w:id="157" w:name="_Toc24159"/>
      <w:bookmarkStart w:id="158" w:name="_Toc1970"/>
      <w:bookmarkStart w:id="159" w:name="_Toc6853"/>
    </w:p>
    <w:tbl>
      <w:tblPr>
        <w:tblStyle w:val="23"/>
        <w:tblpPr w:leftFromText="181" w:rightFromText="181" w:vertAnchor="text" w:horzAnchor="page" w:tblpX="1424" w:tblpY="1"/>
        <w:tblOverlap w:val="never"/>
        <w:tblW w:w="907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535"/>
        <w:gridCol w:w="45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35" w:hRule="atLeast"/>
        </w:trPr>
        <w:tc>
          <w:tcPr>
            <w:tcW w:w="4535" w:type="dxa"/>
            <w:tcBorders>
              <w:tl2br w:val="nil"/>
              <w:tr2bl w:val="nil"/>
            </w:tcBorders>
            <w:vAlign w:val="top"/>
          </w:tcPr>
          <w:p>
            <w:pPr>
              <w:keepNext w:val="0"/>
              <w:keepLines w:val="0"/>
              <w:suppressLineNumbers w:val="0"/>
              <w:bidi w:val="0"/>
              <w:spacing w:before="0" w:beforeAutospacing="0" w:after="0" w:afterAutospacing="0"/>
              <w:ind w:left="0" w:right="0"/>
              <w:rPr>
                <w:rFonts w:hint="eastAsia" w:ascii="Times New Roman" w:hAnsi="Times New Roman" w:eastAsia="黑体" w:cs="Times New Roman"/>
                <w:b/>
                <w:sz w:val="32"/>
                <w:szCs w:val="32"/>
                <w:highlight w:val="red"/>
                <w:vertAlign w:val="baseline"/>
                <w:lang w:val="en-US" w:eastAsia="zh-CN"/>
              </w:rPr>
            </w:pPr>
            <w:r>
              <w:rPr>
                <w:rFonts w:hint="eastAsia" w:ascii="Times New Roman" w:hAnsi="Times New Roman" w:eastAsia="黑体" w:cs="Times New Roman"/>
                <w:b/>
                <w:sz w:val="32"/>
                <w:szCs w:val="32"/>
                <w:highlight w:val="red"/>
                <w:vertAlign w:val="baseline"/>
                <w:lang w:val="en-US" w:eastAsia="zh-CN"/>
              </w:rPr>
              <w:drawing>
                <wp:anchor distT="0" distB="0" distL="114300" distR="114300" simplePos="0" relativeHeight="2176332800" behindDoc="0" locked="0" layoutInCell="1" allowOverlap="1">
                  <wp:simplePos x="0" y="0"/>
                  <wp:positionH relativeFrom="column">
                    <wp:posOffset>222250</wp:posOffset>
                  </wp:positionH>
                  <wp:positionV relativeFrom="paragraph">
                    <wp:posOffset>123825</wp:posOffset>
                  </wp:positionV>
                  <wp:extent cx="5068570" cy="3802380"/>
                  <wp:effectExtent l="0" t="0" r="17780" b="7620"/>
                  <wp:wrapNone/>
                  <wp:docPr id="1" name="图片 1" descr="e3720232693bc8b00c40ca88897d6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3720232693bc8b00c40ca88897d67c"/>
                          <pic:cNvPicPr>
                            <a:picLocks noChangeAspect="1"/>
                          </pic:cNvPicPr>
                        </pic:nvPicPr>
                        <pic:blipFill>
                          <a:blip r:embed="rId19"/>
                          <a:stretch>
                            <a:fillRect/>
                          </a:stretch>
                        </pic:blipFill>
                        <pic:spPr>
                          <a:xfrm>
                            <a:off x="0" y="0"/>
                            <a:ext cx="5068570" cy="3802380"/>
                          </a:xfrm>
                          <a:prstGeom prst="rect">
                            <a:avLst/>
                          </a:prstGeom>
                        </pic:spPr>
                      </pic:pic>
                    </a:graphicData>
                  </a:graphic>
                </wp:anchor>
              </w:drawing>
            </w:r>
          </w:p>
        </w:tc>
        <w:tc>
          <w:tcPr>
            <w:tcW w:w="4535" w:type="dxa"/>
            <w:tcBorders>
              <w:tl2br w:val="nil"/>
              <w:tr2bl w:val="nil"/>
            </w:tcBorders>
            <w:vAlign w:val="top"/>
          </w:tcPr>
          <w:p>
            <w:pPr>
              <w:keepNext w:val="0"/>
              <w:keepLines w:val="0"/>
              <w:suppressLineNumbers w:val="0"/>
              <w:bidi w:val="0"/>
              <w:spacing w:before="0" w:beforeAutospacing="0" w:after="0" w:afterAutospacing="0"/>
              <w:ind w:left="0" w:right="0"/>
              <w:rPr>
                <w:rFonts w:hint="eastAsia" w:ascii="Times New Roman" w:hAnsi="Times New Roman" w:eastAsia="黑体" w:cs="Times New Roman"/>
                <w:b/>
                <w:sz w:val="32"/>
                <w:szCs w:val="32"/>
                <w:highlight w:val="red"/>
                <w:vertAlign w:val="baseline"/>
                <w:lang w:val="en-US" w:eastAsia="zh-CN"/>
              </w:rPr>
            </w:pPr>
          </w:p>
        </w:tc>
      </w:tr>
    </w:tbl>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ind w:left="0" w:leftChars="0" w:firstLine="2409" w:firstLineChars="1000"/>
        <w:jc w:val="both"/>
        <w:rPr>
          <w:rFonts w:hint="default" w:ascii="Times New Roman" w:hAnsi="Times New Roman" w:eastAsia="宋体" w:cs="Times New Roman"/>
          <w:b/>
          <w:bCs/>
          <w:highlight w:val="none"/>
          <w:lang w:val="en-US" w:eastAsia="zh-CN"/>
        </w:rPr>
      </w:pPr>
      <w:r>
        <w:rPr>
          <w:rFonts w:hint="default" w:ascii="Times New Roman" w:hAnsi="Times New Roman" w:eastAsia="宋体" w:cs="Times New Roman"/>
          <w:b/>
          <w:bCs/>
          <w:highlight w:val="none"/>
          <w:lang w:val="en-US" w:eastAsia="zh-CN"/>
        </w:rPr>
        <w:t>图3-1  废气治理设施现场图</w:t>
      </w:r>
      <w:bookmarkEnd w:id="156"/>
      <w:bookmarkEnd w:id="157"/>
      <w:bookmarkEnd w:id="158"/>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60" w:name="_Toc22928"/>
      <w:bookmarkStart w:id="161" w:name="_Toc6473"/>
      <w:bookmarkStart w:id="162" w:name="_Toc4309"/>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2</w:t>
      </w:r>
      <w:r>
        <w:rPr>
          <w:rFonts w:hint="default" w:ascii="Times New Roman" w:hAnsi="Times New Roman" w:eastAsia="宋体" w:cs="Times New Roman"/>
          <w:highlight w:val="none"/>
        </w:rPr>
        <w:t xml:space="preserve"> 废水</w:t>
      </w:r>
      <w:bookmarkEnd w:id="159"/>
      <w:bookmarkEnd w:id="160"/>
      <w:bookmarkEnd w:id="161"/>
      <w:bookmarkEnd w:id="162"/>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both"/>
        <w:textAlignment w:val="auto"/>
        <w:outlineLvl w:val="2"/>
        <w:rPr>
          <w:rFonts w:hint="default" w:ascii="宋体" w:hAnsi="宋体" w:eastAsia="宋体" w:cs="宋体"/>
          <w:color w:val="000000"/>
          <w:kern w:val="0"/>
          <w:sz w:val="24"/>
          <w:szCs w:val="24"/>
          <w:lang w:val="en-US" w:eastAsia="zh-CN" w:bidi="ar"/>
        </w:rPr>
      </w:pPr>
      <w:bookmarkStart w:id="163" w:name="_Toc15166"/>
      <w:bookmarkStart w:id="164" w:name="_Toc30198"/>
      <w:bookmarkStart w:id="165" w:name="_Toc571"/>
      <w:bookmarkStart w:id="166" w:name="_Toc18436"/>
      <w:bookmarkStart w:id="167" w:name="_Toc497001462"/>
      <w:bookmarkStart w:id="168" w:name="_Toc496979025"/>
      <w:r>
        <w:rPr>
          <w:sz w:val="24"/>
        </w:rPr>
        <w:t>项目生产过程无生产废水产生，主要为办公生活污水，办公生活污水经厂区化粪池处理后排入市政管网，最终进入沧州市运东污水处理厂进行处理</w:t>
      </w:r>
      <w:r>
        <w:rPr>
          <w:rFonts w:hint="eastAsia" w:ascii="宋体" w:hAnsi="宋体" w:eastAsia="宋体" w:cs="宋体"/>
          <w:color w:val="000000"/>
          <w:kern w:val="0"/>
          <w:sz w:val="24"/>
          <w:szCs w:val="24"/>
          <w:lang w:val="en-US" w:eastAsia="zh-CN" w:bidi="ar"/>
        </w:rPr>
        <w:t>。</w:t>
      </w:r>
      <w:bookmarkEnd w:id="163"/>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69" w:name="_Toc10435"/>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bookmarkEnd w:id="164"/>
      <w:bookmarkEnd w:id="165"/>
      <w:bookmarkEnd w:id="166"/>
      <w:bookmarkEnd w:id="169"/>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both"/>
        <w:textAlignment w:val="auto"/>
        <w:outlineLvl w:val="2"/>
        <w:rPr>
          <w:rFonts w:hint="default" w:ascii="宋体" w:hAnsi="宋体" w:eastAsia="宋体" w:cs="宋体"/>
          <w:color w:val="000000"/>
          <w:kern w:val="0"/>
          <w:sz w:val="24"/>
          <w:szCs w:val="24"/>
          <w:lang w:val="en-US" w:eastAsia="zh-CN" w:bidi="ar"/>
        </w:rPr>
      </w:pPr>
      <w:bookmarkStart w:id="170" w:name="_Toc12646"/>
      <w:bookmarkStart w:id="171" w:name="_Toc1473"/>
      <w:bookmarkStart w:id="172" w:name="_Toc16750"/>
      <w:bookmarkStart w:id="173" w:name="_Toc5318"/>
      <w:r>
        <w:rPr>
          <w:rFonts w:hint="default" w:ascii="Times New Roman" w:hAnsi="Times New Roman" w:eastAsia="宋体" w:cs="Times New Roman"/>
          <w:color w:val="auto"/>
          <w:sz w:val="24"/>
          <w:szCs w:val="24"/>
          <w:lang w:val="en-US" w:eastAsia="zh-CN"/>
        </w:rPr>
        <w:t>项目噪声来源主要为</w:t>
      </w:r>
      <w:r>
        <w:rPr>
          <w:rFonts w:hint="eastAsia"/>
          <w:sz w:val="24"/>
        </w:rPr>
        <w:t>喷枪、焊机、空气压缩机</w:t>
      </w:r>
      <w:r>
        <w:rPr>
          <w:sz w:val="24"/>
        </w:rPr>
        <w:t>等设备产生</w:t>
      </w:r>
      <w:r>
        <w:rPr>
          <w:rFonts w:hint="eastAsia"/>
          <w:sz w:val="24"/>
          <w:lang w:eastAsia="zh-CN"/>
        </w:rPr>
        <w:t>的</w:t>
      </w:r>
      <w:r>
        <w:rPr>
          <w:sz w:val="24"/>
        </w:rPr>
        <w:t>噪声</w:t>
      </w:r>
      <w:r>
        <w:rPr>
          <w:rFonts w:hint="eastAsia" w:ascii="Times New Roman" w:hAnsi="Times New Roman" w:eastAsia="宋体" w:cs="Times New Roman"/>
          <w:color w:val="auto"/>
          <w:sz w:val="24"/>
          <w:szCs w:val="24"/>
          <w:lang w:val="en-US" w:eastAsia="zh-CN"/>
        </w:rPr>
        <w:t>。项目</w:t>
      </w:r>
      <w:r>
        <w:rPr>
          <w:sz w:val="24"/>
        </w:rPr>
        <w:t>通过优先选用低噪声设备，车间内合理布置并做基础减振，同时严格生产运行时间，噪声再经距离衰减</w:t>
      </w:r>
      <w:r>
        <w:rPr>
          <w:rFonts w:hint="eastAsia" w:ascii="Times New Roman" w:hAnsi="Times New Roman" w:eastAsia="宋体" w:cs="Times New Roman"/>
          <w:color w:val="auto"/>
          <w:sz w:val="24"/>
          <w:szCs w:val="24"/>
          <w:lang w:val="en-US" w:eastAsia="zh-CN"/>
        </w:rPr>
        <w:t>等</w:t>
      </w:r>
      <w:r>
        <w:rPr>
          <w:rFonts w:hint="eastAsia" w:ascii="Times New Roman" w:hAnsi="Times New Roman" w:eastAsia="宋体" w:cs="Times New Roman"/>
          <w:color w:val="auto"/>
          <w:sz w:val="24"/>
          <w:szCs w:val="24"/>
          <w:lang w:eastAsia="zh-CN"/>
        </w:rPr>
        <w:t>降噪措施后排入周边环境</w:t>
      </w:r>
      <w:r>
        <w:rPr>
          <w:rFonts w:hint="eastAsia" w:ascii="宋体" w:hAnsi="宋体" w:eastAsia="宋体" w:cs="宋体"/>
          <w:color w:val="000000"/>
          <w:kern w:val="0"/>
          <w:sz w:val="24"/>
          <w:szCs w:val="24"/>
          <w:lang w:val="en-US" w:eastAsia="zh-CN" w:bidi="ar"/>
        </w:rPr>
        <w:t>。</w:t>
      </w:r>
      <w:bookmarkEnd w:id="170"/>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2"/>
        <w:rPr>
          <w:rFonts w:hint="default" w:ascii="宋体" w:hAnsi="宋体" w:eastAsia="宋体" w:cs="宋体"/>
          <w:color w:val="000000"/>
          <w:kern w:val="0"/>
          <w:sz w:val="24"/>
          <w:szCs w:val="24"/>
          <w:lang w:val="en-US" w:eastAsia="zh-CN" w:bidi="ar"/>
        </w:rPr>
      </w:pPr>
      <w:bookmarkStart w:id="174" w:name="_Toc7575"/>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 xml:space="preserve">4 </w:t>
      </w:r>
      <w:r>
        <w:rPr>
          <w:rFonts w:hint="default" w:ascii="宋体" w:hAnsi="宋体" w:eastAsia="宋体" w:cs="宋体"/>
          <w:color w:val="000000"/>
          <w:kern w:val="0"/>
          <w:sz w:val="24"/>
          <w:szCs w:val="24"/>
          <w:lang w:val="en-US" w:eastAsia="zh-CN" w:bidi="ar"/>
        </w:rPr>
        <w:t>固体废物</w:t>
      </w:r>
      <w:bookmarkEnd w:id="171"/>
      <w:bookmarkEnd w:id="172"/>
      <w:bookmarkEnd w:id="173"/>
      <w:bookmarkEnd w:id="174"/>
    </w:p>
    <w:p>
      <w:pPr>
        <w:adjustRightInd w:val="0"/>
        <w:snapToGrid w:val="0"/>
        <w:spacing w:line="360" w:lineRule="auto"/>
        <w:ind w:firstLine="422" w:firstLineChars="200"/>
        <w:jc w:val="left"/>
        <w:rPr>
          <w:rFonts w:hint="default" w:ascii="Times New Roman" w:hAnsi="Times New Roman" w:eastAsia="宋体" w:cs="Times New Roman"/>
          <w:b/>
          <w:bCs/>
          <w:highlight w:val="none"/>
          <w:lang w:val="en-US" w:eastAsia="zh-CN"/>
        </w:rPr>
      </w:pPr>
      <w:bookmarkStart w:id="175" w:name="_Toc9823"/>
      <w:bookmarkStart w:id="176" w:name="_Toc4008"/>
      <w:r>
        <w:rPr>
          <w:rFonts w:hint="default" w:ascii="Times New Roman" w:hAnsi="Times New Roman" w:eastAsia="宋体" w:cs="Times New Roman"/>
          <w:b/>
          <w:bCs/>
          <w:highlight w:val="none"/>
          <w:lang w:val="en-US" w:eastAsia="zh-CN"/>
        </w:rPr>
        <w:drawing>
          <wp:anchor distT="0" distB="0" distL="114300" distR="114300" simplePos="0" relativeHeight="2176333824" behindDoc="0" locked="0" layoutInCell="1" allowOverlap="1">
            <wp:simplePos x="0" y="0"/>
            <wp:positionH relativeFrom="column">
              <wp:posOffset>1030605</wp:posOffset>
            </wp:positionH>
            <wp:positionV relativeFrom="paragraph">
              <wp:posOffset>1106170</wp:posOffset>
            </wp:positionV>
            <wp:extent cx="3223260" cy="4298315"/>
            <wp:effectExtent l="0" t="0" r="15240" b="6985"/>
            <wp:wrapNone/>
            <wp:docPr id="2" name="图片 2" descr="e265b857ded7d8f882aa3ad7b756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265b857ded7d8f882aa3ad7b756485"/>
                    <pic:cNvPicPr>
                      <a:picLocks noChangeAspect="1"/>
                    </pic:cNvPicPr>
                  </pic:nvPicPr>
                  <pic:blipFill>
                    <a:blip r:embed="rId20"/>
                    <a:stretch>
                      <a:fillRect/>
                    </a:stretch>
                  </pic:blipFill>
                  <pic:spPr>
                    <a:xfrm>
                      <a:off x="0" y="0"/>
                      <a:ext cx="3223260" cy="4298315"/>
                    </a:xfrm>
                    <a:prstGeom prst="rect">
                      <a:avLst/>
                    </a:prstGeom>
                  </pic:spPr>
                </pic:pic>
              </a:graphicData>
            </a:graphic>
          </wp:anchor>
        </w:drawing>
      </w:r>
      <w:r>
        <w:rPr>
          <w:sz w:val="24"/>
        </w:rPr>
        <w:t>项目产生的固体废物主要为废零部件、焊渣、</w:t>
      </w:r>
      <w:r>
        <w:rPr>
          <w:rFonts w:hint="eastAsia"/>
          <w:sz w:val="24"/>
        </w:rPr>
        <w:t>废旧金属和废砂纸</w:t>
      </w:r>
      <w:r>
        <w:rPr>
          <w:sz w:val="24"/>
        </w:rPr>
        <w:t>为一般工业固废，经收集后外售；废机油、废机滤、废油漆桶、废机油桶、废过滤棉、废活性炭、漆渣为危险废物，收集后暂存在厂区危废间内，委托有资质单位处置。</w:t>
      </w:r>
      <w:r>
        <w:rPr>
          <w:kern w:val="0"/>
          <w:sz w:val="24"/>
        </w:rPr>
        <w:t>职工办公生活产生的生活垃圾，由环卫部门定期收集后处理</w:t>
      </w:r>
      <w:r>
        <w:rPr>
          <w:rFonts w:hint="eastAsia" w:ascii="Times New Roman" w:hAnsi="Times New Roman" w:eastAsia="宋体" w:cs="Times New Roman"/>
          <w:color w:val="auto"/>
          <w:sz w:val="24"/>
          <w:szCs w:val="24"/>
          <w:lang w:val="en-US" w:eastAsia="zh-CN"/>
        </w:rPr>
        <w:t>。</w:t>
      </w: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both"/>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val="0"/>
          <w:bCs w:val="0"/>
          <w:highlight w:val="red"/>
          <w:lang w:val="en-US" w:eastAsia="zh-CN"/>
        </w:rPr>
      </w:pPr>
      <w:r>
        <w:rPr>
          <w:rFonts w:hint="eastAsia" w:ascii="Times New Roman" w:hAnsi="Times New Roman" w:cs="Times New Roman"/>
          <w:b w:val="0"/>
          <w:bCs w:val="0"/>
          <w:highlight w:val="red"/>
          <w:lang w:val="en-US" w:eastAsia="zh-CN"/>
        </w:rPr>
        <w:t>危废间</w:t>
      </w: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p>
    <w:p>
      <w:pPr>
        <w:pStyle w:val="8"/>
        <w:jc w:val="center"/>
        <w:rPr>
          <w:rFonts w:hint="default" w:ascii="Times New Roman" w:hAnsi="Times New Roman" w:eastAsia="宋体" w:cs="Times New Roman"/>
          <w:b/>
          <w:bCs/>
          <w:highlight w:val="none"/>
          <w:lang w:val="en-US" w:eastAsia="zh-CN"/>
        </w:rPr>
      </w:pPr>
      <w:r>
        <w:rPr>
          <w:rFonts w:hint="default" w:ascii="Times New Roman" w:hAnsi="Times New Roman" w:eastAsia="宋体" w:cs="Times New Roman"/>
          <w:b/>
          <w:bCs/>
          <w:highlight w:val="none"/>
          <w:lang w:val="en-US" w:eastAsia="zh-CN"/>
        </w:rPr>
        <w:t>图3-</w:t>
      </w:r>
      <w:r>
        <w:rPr>
          <w:rFonts w:hint="eastAsia" w:ascii="Times New Roman" w:hAnsi="Times New Roman" w:eastAsia="宋体" w:cs="Times New Roman"/>
          <w:b/>
          <w:bCs/>
          <w:highlight w:val="none"/>
          <w:lang w:val="en-US" w:eastAsia="zh-CN"/>
        </w:rPr>
        <w:t>2</w:t>
      </w:r>
      <w:r>
        <w:rPr>
          <w:rFonts w:hint="default" w:ascii="Times New Roman" w:hAnsi="Times New Roman" w:eastAsia="宋体" w:cs="Times New Roman"/>
          <w:b/>
          <w:bCs/>
          <w:highlight w:val="none"/>
          <w:lang w:val="en-US" w:eastAsia="zh-CN"/>
        </w:rPr>
        <w:t xml:space="preserve">  </w:t>
      </w:r>
      <w:r>
        <w:rPr>
          <w:rFonts w:hint="eastAsia" w:ascii="Times New Roman" w:hAnsi="Times New Roman" w:eastAsia="宋体" w:cs="Times New Roman"/>
          <w:b/>
          <w:bCs/>
          <w:highlight w:val="none"/>
          <w:lang w:val="en-US" w:eastAsia="zh-CN"/>
        </w:rPr>
        <w:t>固废</w:t>
      </w:r>
      <w:r>
        <w:rPr>
          <w:rFonts w:hint="default" w:ascii="Times New Roman" w:hAnsi="Times New Roman" w:eastAsia="宋体" w:cs="Times New Roman"/>
          <w:b/>
          <w:bCs/>
          <w:highlight w:val="none"/>
          <w:lang w:val="en-US" w:eastAsia="zh-CN"/>
        </w:rPr>
        <w:t>治理设施现场图</w:t>
      </w:r>
    </w:p>
    <w:bookmarkEnd w:id="167"/>
    <w:bookmarkEnd w:id="168"/>
    <w:bookmarkEnd w:id="175"/>
    <w:bookmarkEnd w:id="176"/>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7" w:name="_Toc19788"/>
      <w:bookmarkStart w:id="178" w:name="_Toc25824"/>
      <w:bookmarkStart w:id="179" w:name="_Toc14411"/>
    </w:p>
    <w:p>
      <w:pPr>
        <w:pStyle w:val="8"/>
        <w:ind w:left="0" w:leftChars="0" w:firstLine="0" w:firstLineChars="0"/>
        <w:rPr>
          <w:rFonts w:hint="default" w:ascii="Times New Roman" w:hAnsi="Times New Roman" w:eastAsia="宋体" w:cs="Times New Roman"/>
        </w:rPr>
      </w:pPr>
    </w:p>
    <w:p>
      <w:pPr>
        <w:pStyle w:val="8"/>
        <w:rPr>
          <w:rFonts w:hint="default" w:ascii="Times New Roman" w:hAnsi="Times New Roman" w:eastAsia="宋体" w:cs="Times New Roman"/>
        </w:rPr>
        <w:sectPr>
          <w:headerReference r:id="rId10"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keepNext w:val="0"/>
        <w:keepLines w:val="0"/>
        <w:pageBreakBefore w:val="0"/>
        <w:widowControl w:val="0"/>
        <w:kinsoku/>
        <w:wordWrap/>
        <w:overflowPunct/>
        <w:topLinePunct w:val="0"/>
        <w:autoSpaceDE/>
        <w:autoSpaceDN/>
        <w:bidi w:val="0"/>
        <w:adjustRightInd w:val="0"/>
        <w:snapToGrid w:val="0"/>
        <w:spacing w:line="372" w:lineRule="auto"/>
        <w:ind w:left="0" w:leftChars="0" w:right="0" w:rightChars="0" w:firstLine="0" w:firstLineChars="0"/>
        <w:jc w:val="both"/>
        <w:textAlignment w:val="auto"/>
        <w:outlineLvl w:val="0"/>
        <w:rPr>
          <w:rFonts w:hint="default" w:ascii="Times New Roman" w:hAnsi="Times New Roman" w:eastAsia="宋体" w:cs="Times New Roman"/>
        </w:rPr>
      </w:pPr>
      <w:bookmarkStart w:id="180" w:name="_Toc6572"/>
      <w:r>
        <w:rPr>
          <w:rFonts w:hint="default" w:ascii="Times New Roman" w:hAnsi="Times New Roman" w:eastAsia="宋体" w:cs="Times New Roman"/>
        </w:rPr>
        <w:t>4 环评主要结论及环评批复要求</w:t>
      </w:r>
      <w:bookmarkEnd w:id="177"/>
      <w:bookmarkEnd w:id="178"/>
      <w:bookmarkEnd w:id="179"/>
      <w:bookmarkEnd w:id="180"/>
    </w:p>
    <w:p>
      <w:pPr>
        <w:pStyle w:val="4"/>
        <w:keepNext w:val="0"/>
        <w:keepLines w:val="0"/>
        <w:pageBreakBefore w:val="0"/>
        <w:widowControl w:val="0"/>
        <w:kinsoku/>
        <w:wordWrap/>
        <w:overflowPunct/>
        <w:topLinePunct w:val="0"/>
        <w:bidi w:val="0"/>
        <w:adjustRightInd w:val="0"/>
        <w:snapToGrid w:val="0"/>
        <w:spacing w:line="372" w:lineRule="auto"/>
        <w:textAlignment w:val="auto"/>
        <w:rPr>
          <w:rFonts w:hint="default" w:ascii="Times New Roman" w:hAnsi="Times New Roman" w:eastAsia="宋体" w:cs="Times New Roman"/>
          <w:sz w:val="24"/>
          <w:szCs w:val="24"/>
        </w:rPr>
      </w:pPr>
      <w:bookmarkStart w:id="181" w:name="_Toc21108"/>
      <w:bookmarkStart w:id="182" w:name="_Toc19580"/>
      <w:bookmarkStart w:id="183" w:name="_Toc17594"/>
      <w:bookmarkStart w:id="184" w:name="_Toc10917"/>
      <w:r>
        <w:rPr>
          <w:rFonts w:hint="default" w:ascii="Times New Roman" w:hAnsi="Times New Roman" w:eastAsia="宋体" w:cs="Times New Roman"/>
          <w:sz w:val="24"/>
          <w:szCs w:val="24"/>
        </w:rPr>
        <w:t>4.1 建设项目环评报告表的主要结论与建议</w:t>
      </w:r>
      <w:bookmarkEnd w:id="181"/>
      <w:bookmarkEnd w:id="182"/>
      <w:bookmarkEnd w:id="183"/>
      <w:bookmarkEnd w:id="184"/>
    </w:p>
    <w:p>
      <w:pPr>
        <w:pStyle w:val="5"/>
        <w:keepNext w:val="0"/>
        <w:keepLines w:val="0"/>
        <w:pageBreakBefore w:val="0"/>
        <w:widowControl w:val="0"/>
        <w:kinsoku/>
        <w:wordWrap/>
        <w:overflowPunct/>
        <w:topLinePunct w:val="0"/>
        <w:autoSpaceDE/>
        <w:autoSpaceDN/>
        <w:bidi w:val="0"/>
        <w:adjustRightInd w:val="0"/>
        <w:snapToGrid w:val="0"/>
        <w:spacing w:line="372" w:lineRule="auto"/>
        <w:textAlignment w:val="auto"/>
        <w:outlineLvl w:val="2"/>
        <w:rPr>
          <w:rFonts w:hint="default" w:ascii="Times New Roman" w:hAnsi="Times New Roman" w:eastAsia="宋体" w:cs="Times New Roman"/>
          <w:b/>
          <w:bCs/>
        </w:rPr>
      </w:pPr>
      <w:bookmarkStart w:id="185" w:name="_Toc29423"/>
      <w:bookmarkStart w:id="186" w:name="_Toc17583"/>
      <w:bookmarkStart w:id="187" w:name="_Toc22609"/>
      <w:bookmarkStart w:id="188" w:name="_Toc21121"/>
      <w:bookmarkStart w:id="189" w:name="_Toc497001467"/>
      <w:bookmarkStart w:id="190" w:name="_Toc496979030"/>
      <w:bookmarkStart w:id="191" w:name="_Toc26870"/>
      <w:r>
        <w:rPr>
          <w:rFonts w:hint="default" w:ascii="Times New Roman" w:hAnsi="Times New Roman" w:eastAsia="宋体" w:cs="Times New Roman"/>
          <w:b/>
          <w:bCs/>
        </w:rPr>
        <w:t>4.1.1 结论</w:t>
      </w:r>
      <w:bookmarkEnd w:id="185"/>
      <w:bookmarkEnd w:id="186"/>
      <w:bookmarkEnd w:id="187"/>
      <w:bookmarkEnd w:id="188"/>
      <w:bookmarkEnd w:id="189"/>
      <w:bookmarkEnd w:id="190"/>
      <w:bookmarkEnd w:id="191"/>
    </w:p>
    <w:p>
      <w:pPr>
        <w:keepNext w:val="0"/>
        <w:keepLines w:val="0"/>
        <w:pageBreakBefore w:val="0"/>
        <w:widowControl w:val="0"/>
        <w:kinsoku/>
        <w:wordWrap/>
        <w:overflowPunct/>
        <w:topLinePunct w:val="0"/>
        <w:bidi w:val="0"/>
        <w:adjustRightInd w:val="0"/>
        <w:snapToGrid w:val="0"/>
        <w:spacing w:line="372" w:lineRule="auto"/>
        <w:ind w:firstLine="482" w:firstLineChars="200"/>
        <w:textAlignment w:val="auto"/>
        <w:rPr>
          <w:b/>
          <w:sz w:val="24"/>
        </w:rPr>
      </w:pPr>
      <w:r>
        <w:rPr>
          <w:b/>
          <w:sz w:val="24"/>
        </w:rPr>
        <w:t>1、建设项目情况概述</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（1）项目概况</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项目名称：沧州市新华区路捷汽车维修服务中心汽车维修项目</w:t>
      </w:r>
    </w:p>
    <w:p>
      <w:pPr>
        <w:pStyle w:val="7"/>
        <w:keepNext w:val="0"/>
        <w:keepLines w:val="0"/>
        <w:pageBreakBefore w:val="0"/>
        <w:widowControl w:val="0"/>
        <w:kinsoku/>
        <w:wordWrap/>
        <w:overflowPunct/>
        <w:topLinePunct w:val="0"/>
        <w:bidi w:val="0"/>
        <w:adjustRightInd w:val="0"/>
        <w:snapToGrid w:val="0"/>
        <w:spacing w:line="372" w:lineRule="auto"/>
        <w:ind w:firstLine="48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w:t>
      </w:r>
      <w:r>
        <w:rPr>
          <w:rFonts w:hint="default" w:ascii="Times New Roman" w:hAnsi="Times New Roman" w:eastAsia="宋体" w:cs="Times New Roman"/>
          <w:sz w:val="24"/>
          <w:szCs w:val="24"/>
        </w:rPr>
        <w:t>沧州市新华区路捷汽车维修服务中心</w:t>
      </w:r>
    </w:p>
    <w:p>
      <w:pPr>
        <w:pStyle w:val="7"/>
        <w:keepNext w:val="0"/>
        <w:keepLines w:val="0"/>
        <w:pageBreakBefore w:val="0"/>
        <w:widowControl w:val="0"/>
        <w:kinsoku/>
        <w:wordWrap/>
        <w:overflowPunct/>
        <w:topLinePunct w:val="0"/>
        <w:bidi w:val="0"/>
        <w:adjustRightInd w:val="0"/>
        <w:snapToGrid w:val="0"/>
        <w:spacing w:line="372" w:lineRule="auto"/>
        <w:ind w:firstLine="48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项目性质：新建</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工程投资：总投资120万元，其中环保投资28万元，环保投资比例为23.3%。</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劳动定员：30人</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年工作日360天，白天1班生产，每班8个小时。</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（2）项目选址</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napToGrid w:val="0"/>
          <w:kern w:val="0"/>
          <w:sz w:val="24"/>
          <w:szCs w:val="24"/>
        </w:rPr>
        <w:t>本项目位于</w:t>
      </w:r>
      <w:r>
        <w:rPr>
          <w:rFonts w:hint="default" w:ascii="Times New Roman" w:hAnsi="Times New Roman" w:eastAsia="宋体" w:cs="Times New Roman"/>
          <w:sz w:val="24"/>
          <w:szCs w:val="24"/>
        </w:rPr>
        <w:t>沧州市新华区307国道与清池大道交汇处北100米路东侧</w:t>
      </w:r>
      <w:r>
        <w:rPr>
          <w:rFonts w:hint="default" w:ascii="Times New Roman" w:hAnsi="Times New Roman" w:eastAsia="宋体" w:cs="Times New Roman"/>
          <w:snapToGrid w:val="0"/>
          <w:kern w:val="0"/>
          <w:sz w:val="24"/>
          <w:szCs w:val="24"/>
        </w:rPr>
        <w:t>，厂址中心地理坐标为北纬38°16'36.00"，东经116°51'29.00"，</w:t>
      </w:r>
      <w:r>
        <w:rPr>
          <w:rFonts w:hint="default" w:ascii="Times New Roman" w:hAnsi="Times New Roman" w:eastAsia="宋体" w:cs="Times New Roman"/>
          <w:color w:val="000000"/>
          <w:sz w:val="24"/>
          <w:szCs w:val="24"/>
        </w:rPr>
        <w:t>项目北侧为商铺，东侧为仓库，西侧为清池大道，南侧为洗车店。与王希鲁村住户最近距离为70m。</w:t>
      </w:r>
      <w:r>
        <w:rPr>
          <w:rFonts w:hint="default" w:ascii="Times New Roman" w:hAnsi="Times New Roman" w:eastAsia="宋体" w:cs="Times New Roman"/>
          <w:sz w:val="24"/>
          <w:szCs w:val="24"/>
        </w:rPr>
        <w:t>项目所在地周围没有自然保护区、风景名胜区、生活饮用水水源地等敏感目标。</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（3）主要产品方案及生产规模</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napToGrid w:val="0"/>
          <w:kern w:val="0"/>
          <w:sz w:val="24"/>
          <w:szCs w:val="24"/>
        </w:rPr>
      </w:pPr>
      <w:r>
        <w:rPr>
          <w:rFonts w:hint="default" w:ascii="Times New Roman" w:hAnsi="Times New Roman" w:eastAsia="宋体" w:cs="Times New Roman"/>
          <w:snapToGrid w:val="0"/>
          <w:kern w:val="0"/>
          <w:sz w:val="24"/>
          <w:szCs w:val="24"/>
        </w:rPr>
        <w:t>项目年维修养护汽车3000辆次</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（4）建设内容</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项目占地面积2000m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，项目建设内容主要包括汽车销售展厅、维修车间、烤漆房等。</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（5）产业政策符合性分析</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根据国家发展和改革委员会2019年第29号令《产业结构调整指导目录（2019年本）》，项目不属于“鼓励类”“淘汰类”和“限制类”项目，属于允许类建设项目，符合国家产业政策。</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根据《河北省新增限制和淘汰类产业目录（2015年版）》（冀政办发（2015）7号），项目不在其新增限制类和淘汰类产业目录内，符合河北省产业政策。</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kern w:val="44"/>
          <w:sz w:val="24"/>
          <w:szCs w:val="24"/>
        </w:rPr>
      </w:pPr>
      <w:r>
        <w:rPr>
          <w:rFonts w:hint="default" w:ascii="Times New Roman" w:hAnsi="Times New Roman" w:eastAsia="宋体" w:cs="Times New Roman"/>
          <w:kern w:val="44"/>
          <w:sz w:val="24"/>
          <w:szCs w:val="24"/>
        </w:rPr>
        <w:t>（6）项目衔接</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kern w:val="44"/>
          <w:sz w:val="24"/>
          <w:szCs w:val="24"/>
        </w:rPr>
      </w:pPr>
      <w:r>
        <w:rPr>
          <w:rFonts w:hint="default" w:ascii="Times New Roman" w:hAnsi="Times New Roman" w:eastAsia="宋体" w:cs="Times New Roman"/>
          <w:kern w:val="44"/>
          <w:sz w:val="24"/>
          <w:szCs w:val="24"/>
        </w:rPr>
        <w:t>给水：项目用水由市政供水管网提供。项目无生产用水，生活用水主要用于工人生活办公，按40L/人.天，年用水量为432m</w:t>
      </w:r>
      <w:r>
        <w:rPr>
          <w:rFonts w:hint="default" w:ascii="Times New Roman" w:hAnsi="Times New Roman" w:eastAsia="宋体" w:cs="Times New Roman"/>
          <w:kern w:val="44"/>
          <w:sz w:val="24"/>
          <w:szCs w:val="24"/>
          <w:vertAlign w:val="superscript"/>
        </w:rPr>
        <w:t>3</w:t>
      </w:r>
      <w:r>
        <w:rPr>
          <w:rFonts w:hint="default" w:ascii="Times New Roman" w:hAnsi="Times New Roman" w:eastAsia="宋体" w:cs="Times New Roman"/>
          <w:kern w:val="44"/>
          <w:sz w:val="24"/>
          <w:szCs w:val="24"/>
        </w:rPr>
        <w:t>/a、绿化用水为900m</w:t>
      </w:r>
      <w:r>
        <w:rPr>
          <w:rFonts w:hint="default" w:ascii="Times New Roman" w:hAnsi="Times New Roman" w:eastAsia="宋体" w:cs="Times New Roman"/>
          <w:kern w:val="44"/>
          <w:sz w:val="24"/>
          <w:szCs w:val="24"/>
          <w:vertAlign w:val="superscript"/>
        </w:rPr>
        <w:t>3</w:t>
      </w:r>
      <w:r>
        <w:rPr>
          <w:rFonts w:hint="default" w:ascii="Times New Roman" w:hAnsi="Times New Roman" w:eastAsia="宋体" w:cs="Times New Roman"/>
          <w:kern w:val="44"/>
          <w:sz w:val="24"/>
          <w:szCs w:val="24"/>
        </w:rPr>
        <w:t>/a。</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kern w:val="44"/>
          <w:sz w:val="24"/>
          <w:szCs w:val="24"/>
        </w:rPr>
      </w:pPr>
      <w:r>
        <w:rPr>
          <w:rFonts w:hint="default" w:ascii="Times New Roman" w:hAnsi="Times New Roman" w:eastAsia="宋体" w:cs="Times New Roman"/>
          <w:kern w:val="44"/>
          <w:sz w:val="24"/>
          <w:szCs w:val="24"/>
        </w:rPr>
        <w:t>排水：本项目在运行过程中无生产废水排放；项目职工盥洗废水产生量按照用水量的80%计算，为0.96m</w:t>
      </w:r>
      <w:r>
        <w:rPr>
          <w:rFonts w:hint="default" w:ascii="Times New Roman" w:hAnsi="Times New Roman" w:eastAsia="宋体" w:cs="Times New Roman"/>
          <w:kern w:val="44"/>
          <w:sz w:val="24"/>
          <w:szCs w:val="24"/>
          <w:vertAlign w:val="superscript"/>
        </w:rPr>
        <w:t>3</w:t>
      </w:r>
      <w:r>
        <w:rPr>
          <w:rFonts w:hint="default" w:ascii="Times New Roman" w:hAnsi="Times New Roman" w:eastAsia="宋体" w:cs="Times New Roman"/>
          <w:kern w:val="44"/>
          <w:sz w:val="24"/>
          <w:szCs w:val="24"/>
        </w:rPr>
        <w:t>/d，345.6m</w:t>
      </w:r>
      <w:r>
        <w:rPr>
          <w:rFonts w:hint="default" w:ascii="Times New Roman" w:hAnsi="Times New Roman" w:eastAsia="宋体" w:cs="Times New Roman"/>
          <w:kern w:val="44"/>
          <w:sz w:val="24"/>
          <w:szCs w:val="24"/>
          <w:vertAlign w:val="superscript"/>
        </w:rPr>
        <w:t>3</w:t>
      </w:r>
      <w:r>
        <w:rPr>
          <w:rFonts w:hint="default" w:ascii="Times New Roman" w:hAnsi="Times New Roman" w:eastAsia="宋体" w:cs="Times New Roman"/>
          <w:kern w:val="44"/>
          <w:sz w:val="24"/>
          <w:szCs w:val="24"/>
        </w:rPr>
        <w:t>/a，职工生活污水经化粪池处理后通过管网排入沧州市运东污水处理厂进一步处理。</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kern w:val="44"/>
          <w:sz w:val="24"/>
          <w:szCs w:val="24"/>
        </w:rPr>
      </w:pPr>
      <w:r>
        <w:rPr>
          <w:rFonts w:hint="default" w:ascii="Times New Roman" w:hAnsi="Times New Roman" w:eastAsia="宋体" w:cs="Times New Roman"/>
          <w:kern w:val="44"/>
          <w:sz w:val="24"/>
          <w:szCs w:val="24"/>
        </w:rPr>
        <w:t>供电：项目用电由新华区市政供电系统供给，年用电量3.5×10</w:t>
      </w:r>
      <w:r>
        <w:rPr>
          <w:rFonts w:hint="default" w:ascii="Times New Roman" w:hAnsi="Times New Roman" w:eastAsia="宋体" w:cs="Times New Roman"/>
          <w:kern w:val="44"/>
          <w:sz w:val="24"/>
          <w:szCs w:val="24"/>
          <w:vertAlign w:val="superscript"/>
        </w:rPr>
        <w:t>4</w:t>
      </w:r>
      <w:r>
        <w:rPr>
          <w:rFonts w:hint="default" w:ascii="Times New Roman" w:hAnsi="Times New Roman" w:eastAsia="宋体" w:cs="Times New Roman"/>
          <w:kern w:val="44"/>
          <w:sz w:val="24"/>
          <w:szCs w:val="24"/>
        </w:rPr>
        <w:t>kWh，同时建议建设单位厂区内生产设备、污染治理设施和厂区照明采取分电表进行用电计量。</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kern w:val="44"/>
          <w:sz w:val="24"/>
          <w:szCs w:val="24"/>
        </w:rPr>
        <w:t>供热：</w:t>
      </w:r>
      <w:r>
        <w:rPr>
          <w:rFonts w:hint="default" w:ascii="Times New Roman" w:hAnsi="Times New Roman" w:eastAsia="宋体" w:cs="Times New Roman"/>
          <w:sz w:val="24"/>
          <w:szCs w:val="24"/>
        </w:rPr>
        <w:t>本项目生产无需用热，车间无需制冷及取暖，办公楼采取空调供暖。</w:t>
      </w:r>
    </w:p>
    <w:p>
      <w:pPr>
        <w:keepNext w:val="0"/>
        <w:keepLines w:val="0"/>
        <w:pageBreakBefore w:val="0"/>
        <w:widowControl w:val="0"/>
        <w:kinsoku/>
        <w:wordWrap/>
        <w:overflowPunct/>
        <w:topLinePunct w:val="0"/>
        <w:bidi w:val="0"/>
        <w:adjustRightInd w:val="0"/>
        <w:snapToGrid w:val="0"/>
        <w:spacing w:line="372"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2、环境质量现状</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依据</w:t>
      </w:r>
      <w:r>
        <w:rPr>
          <w:rFonts w:hint="default" w:ascii="Times New Roman" w:hAnsi="Times New Roman" w:eastAsia="宋体" w:cs="Times New Roman"/>
          <w:bCs/>
          <w:sz w:val="24"/>
          <w:szCs w:val="24"/>
        </w:rPr>
        <w:t>《2019年沧州市生态环境质量公报》</w:t>
      </w:r>
      <w:r>
        <w:rPr>
          <w:rFonts w:hint="default" w:ascii="Times New Roman" w:hAnsi="Times New Roman" w:eastAsia="宋体" w:cs="Times New Roman"/>
          <w:sz w:val="24"/>
          <w:szCs w:val="24"/>
        </w:rPr>
        <w:t>，沧州市环境空气中</w:t>
      </w:r>
      <w:r>
        <w:rPr>
          <w:rFonts w:hint="default" w:ascii="Times New Roman" w:hAnsi="Times New Roman" w:eastAsia="宋体" w:cs="Times New Roman"/>
          <w:bCs/>
          <w:sz w:val="24"/>
          <w:szCs w:val="24"/>
        </w:rPr>
        <w:t>SO</w:t>
      </w:r>
      <w:r>
        <w:rPr>
          <w:rFonts w:hint="default" w:ascii="Times New Roman" w:hAnsi="Times New Roman" w:eastAsia="宋体" w:cs="Times New Roman"/>
          <w:bCs/>
          <w:sz w:val="24"/>
          <w:szCs w:val="24"/>
          <w:vertAlign w:val="subscript"/>
        </w:rPr>
        <w:t>2</w:t>
      </w:r>
      <w:r>
        <w:rPr>
          <w:rFonts w:hint="default" w:ascii="Times New Roman" w:hAnsi="Times New Roman" w:eastAsia="宋体" w:cs="Times New Roman"/>
          <w:bCs/>
          <w:sz w:val="24"/>
          <w:szCs w:val="24"/>
        </w:rPr>
        <w:t>、NO</w:t>
      </w:r>
      <w:r>
        <w:rPr>
          <w:rFonts w:hint="default" w:ascii="Times New Roman" w:hAnsi="Times New Roman" w:eastAsia="宋体" w:cs="Times New Roman"/>
          <w:bCs/>
          <w:sz w:val="24"/>
          <w:szCs w:val="24"/>
          <w:vertAlign w:val="subscript"/>
        </w:rPr>
        <w:t>2</w:t>
      </w:r>
      <w:r>
        <w:rPr>
          <w:rFonts w:hint="default" w:ascii="Times New Roman" w:hAnsi="Times New Roman" w:eastAsia="宋体" w:cs="Times New Roman"/>
          <w:bCs/>
          <w:sz w:val="24"/>
          <w:szCs w:val="24"/>
        </w:rPr>
        <w:t>、CO</w:t>
      </w:r>
      <w:r>
        <w:rPr>
          <w:rFonts w:hint="default" w:ascii="Times New Roman" w:hAnsi="Times New Roman" w:eastAsia="宋体" w:cs="Times New Roman"/>
          <w:sz w:val="24"/>
          <w:szCs w:val="24"/>
        </w:rPr>
        <w:t>浓度年均值均满足《环境空气质量标准》（GB3095-2012）二级标准及修改单（生态环境部公告2018年第29号），</w:t>
      </w:r>
      <w:r>
        <w:rPr>
          <w:rFonts w:hint="default" w:ascii="Times New Roman" w:hAnsi="Times New Roman" w:eastAsia="宋体" w:cs="Times New Roman"/>
          <w:bCs/>
          <w:sz w:val="24"/>
          <w:szCs w:val="24"/>
        </w:rPr>
        <w:t>PM</w:t>
      </w:r>
      <w:r>
        <w:rPr>
          <w:rFonts w:hint="default" w:ascii="Times New Roman" w:hAnsi="Times New Roman" w:eastAsia="宋体" w:cs="Times New Roman"/>
          <w:bCs/>
          <w:sz w:val="24"/>
          <w:szCs w:val="24"/>
          <w:vertAlign w:val="subscript"/>
        </w:rPr>
        <w:t>10</w:t>
      </w:r>
      <w:r>
        <w:rPr>
          <w:rFonts w:hint="default" w:ascii="Times New Roman" w:hAnsi="Times New Roman" w:eastAsia="宋体" w:cs="Times New Roman"/>
          <w:bCs/>
          <w:sz w:val="24"/>
          <w:szCs w:val="24"/>
        </w:rPr>
        <w:t>、PM</w:t>
      </w:r>
      <w:r>
        <w:rPr>
          <w:rFonts w:hint="default" w:ascii="Times New Roman" w:hAnsi="Times New Roman" w:eastAsia="宋体" w:cs="Times New Roman"/>
          <w:bCs/>
          <w:sz w:val="24"/>
          <w:szCs w:val="24"/>
          <w:vertAlign w:val="subscript"/>
        </w:rPr>
        <w:t>2.5</w:t>
      </w:r>
      <w:r>
        <w:rPr>
          <w:rFonts w:hint="default" w:ascii="Times New Roman" w:hAnsi="Times New Roman" w:eastAsia="宋体" w:cs="Times New Roman"/>
          <w:bCs/>
          <w:sz w:val="24"/>
          <w:szCs w:val="24"/>
        </w:rPr>
        <w:t>、O</w:t>
      </w:r>
      <w:r>
        <w:rPr>
          <w:rFonts w:hint="default" w:ascii="Times New Roman" w:hAnsi="Times New Roman" w:eastAsia="宋体" w:cs="Times New Roman"/>
          <w:bCs/>
          <w:sz w:val="24"/>
          <w:szCs w:val="24"/>
          <w:vertAlign w:val="subscript"/>
        </w:rPr>
        <w:t>3</w:t>
      </w:r>
      <w:r>
        <w:rPr>
          <w:rFonts w:hint="default" w:ascii="Times New Roman" w:hAnsi="Times New Roman" w:eastAsia="宋体" w:cs="Times New Roman"/>
          <w:sz w:val="24"/>
          <w:szCs w:val="24"/>
        </w:rPr>
        <w:t>均存在超标现象。超标原因主要是由于北方地区风沙较大和采暖季废气污染物排放的影响，同时夏季高温VOCs气体的排放也是臭氧超标的主要原因。该地区环境空气质量总体一般。项目所在沧州市新华区目前正在稳步实施《国家打赢蓝天保卫战三年行动计划》（国发〔2018〕22号）、《河北省打赢蓝天保卫战三年行动方案》（冀政发〔2018〕18号），持续改善区域环境空气质量。</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区域声环境现状符合《声环境质量标准》（GB3096-2008）中的2类和4a标准。</w:t>
      </w:r>
    </w:p>
    <w:p>
      <w:pPr>
        <w:pStyle w:val="7"/>
        <w:keepNext w:val="0"/>
        <w:keepLines w:val="0"/>
        <w:pageBreakBefore w:val="0"/>
        <w:widowControl w:val="0"/>
        <w:kinsoku/>
        <w:wordWrap/>
        <w:overflowPunct/>
        <w:topLinePunct w:val="0"/>
        <w:bidi w:val="0"/>
        <w:adjustRightInd w:val="0"/>
        <w:snapToGrid w:val="0"/>
        <w:spacing w:line="372" w:lineRule="auto"/>
        <w:ind w:firstLine="48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区域地下水环境质量满足《地下水质量标准》（GB/T14848-2017）Ⅲ类标准。</w:t>
      </w:r>
    </w:p>
    <w:p>
      <w:pPr>
        <w:pStyle w:val="7"/>
        <w:keepNext w:val="0"/>
        <w:keepLines w:val="0"/>
        <w:pageBreakBefore w:val="0"/>
        <w:widowControl w:val="0"/>
        <w:kinsoku/>
        <w:wordWrap/>
        <w:overflowPunct/>
        <w:topLinePunct w:val="0"/>
        <w:bidi w:val="0"/>
        <w:adjustRightInd w:val="0"/>
        <w:snapToGrid w:val="0"/>
        <w:spacing w:line="372" w:lineRule="auto"/>
        <w:ind w:firstLine="48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区域土壤环境现状满足《土壤环境质量  建设用地土壤污染风险管控标准（试行）》（GB36600-2018）中第二类用地筛选值标准要求。</w:t>
      </w:r>
    </w:p>
    <w:p>
      <w:pPr>
        <w:keepNext w:val="0"/>
        <w:keepLines w:val="0"/>
        <w:pageBreakBefore w:val="0"/>
        <w:widowControl w:val="0"/>
        <w:kinsoku/>
        <w:wordWrap/>
        <w:overflowPunct/>
        <w:topLinePunct w:val="0"/>
        <w:bidi w:val="0"/>
        <w:adjustRightInd w:val="0"/>
        <w:snapToGrid w:val="0"/>
        <w:spacing w:line="372" w:lineRule="auto"/>
        <w:ind w:firstLine="482" w:firstLineChars="20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3、可行性分析结论</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（1）项目选址可行性结论</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napToGrid w:val="0"/>
          <w:kern w:val="0"/>
          <w:sz w:val="24"/>
          <w:szCs w:val="24"/>
        </w:rPr>
        <w:t>本项目位于</w:t>
      </w:r>
      <w:r>
        <w:rPr>
          <w:rFonts w:hint="default" w:ascii="Times New Roman" w:hAnsi="Times New Roman" w:eastAsia="宋体" w:cs="Times New Roman"/>
          <w:sz w:val="24"/>
          <w:szCs w:val="24"/>
        </w:rPr>
        <w:t>沧州市新华区307国道与清池大道交汇处北100米路东侧</w:t>
      </w:r>
      <w:r>
        <w:rPr>
          <w:rFonts w:hint="default" w:ascii="Times New Roman" w:hAnsi="Times New Roman" w:eastAsia="宋体" w:cs="Times New Roman"/>
          <w:snapToGrid w:val="0"/>
          <w:kern w:val="0"/>
          <w:sz w:val="24"/>
          <w:szCs w:val="24"/>
        </w:rPr>
        <w:t>，为商业用地</w:t>
      </w:r>
      <w:r>
        <w:rPr>
          <w:rFonts w:hint="default" w:ascii="Times New Roman" w:hAnsi="Times New Roman" w:eastAsia="宋体" w:cs="Times New Roman"/>
          <w:sz w:val="24"/>
          <w:szCs w:val="24"/>
        </w:rPr>
        <w:t>；项目产生的废气、废水、噪声均达标排放，固废得到合理处置，对周围环境影响较小，根据核算本项目卫生防护距离为100m，</w:t>
      </w:r>
      <w:r>
        <w:rPr>
          <w:rFonts w:hint="default" w:ascii="Times New Roman" w:hAnsi="Times New Roman" w:eastAsia="宋体" w:cs="Times New Roman"/>
          <w:bCs/>
          <w:sz w:val="24"/>
          <w:szCs w:val="24"/>
        </w:rPr>
        <w:t>卫生防护距离内无医院、村庄等环境敏感点，满足卫生防护距离要求</w:t>
      </w:r>
      <w:r>
        <w:rPr>
          <w:rFonts w:hint="default" w:ascii="Times New Roman" w:hAnsi="Times New Roman" w:eastAsia="宋体" w:cs="Times New Roman"/>
          <w:sz w:val="24"/>
          <w:szCs w:val="24"/>
        </w:rPr>
        <w:t>。经分析项目的选址是可行的。</w:t>
      </w:r>
    </w:p>
    <w:p>
      <w:pPr>
        <w:keepNext w:val="0"/>
        <w:keepLines w:val="0"/>
        <w:pageBreakBefore w:val="0"/>
        <w:widowControl w:val="0"/>
        <w:kinsoku/>
        <w:wordWrap/>
        <w:overflowPunct/>
        <w:topLinePunct w:val="0"/>
        <w:bidi w:val="0"/>
        <w:adjustRightInd w:val="0"/>
        <w:snapToGrid w:val="0"/>
        <w:spacing w:line="372"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（2）营运期环保措施可行性分析</w:t>
      </w:r>
    </w:p>
    <w:p>
      <w:pPr>
        <w:pStyle w:val="7"/>
        <w:keepNext w:val="0"/>
        <w:keepLines w:val="0"/>
        <w:pageBreakBefore w:val="0"/>
        <w:widowControl w:val="0"/>
        <w:kinsoku/>
        <w:wordWrap/>
        <w:overflowPunct/>
        <w:topLinePunct w:val="0"/>
        <w:bidi w:val="0"/>
        <w:adjustRightInd w:val="0"/>
        <w:snapToGrid w:val="0"/>
        <w:spacing w:line="384" w:lineRule="auto"/>
        <w:ind w:left="0" w:leftChars="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1）废气</w:t>
      </w:r>
    </w:p>
    <w:p>
      <w:pPr>
        <w:keepNext w:val="0"/>
        <w:keepLines w:val="0"/>
        <w:pageBreakBefore w:val="0"/>
        <w:widowControl w:val="0"/>
        <w:kinsoku/>
        <w:wordWrap/>
        <w:overflowPunct/>
        <w:topLinePunct w:val="0"/>
        <w:bidi w:val="0"/>
        <w:adjustRightInd w:val="0"/>
        <w:snapToGrid w:val="0"/>
        <w:spacing w:line="384"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调漆、喷漆和烤漆产生的废气主要污染物为颗粒物、甲苯、二甲苯、非甲烷总烃，废气经过微负压收集后进入滤棉吸附后经引风机进入一套“等离子光氧一体机+活性炭吸附装置”处理后经1根15m排气筒排放。处理后废气中颗粒排放浓度和排放速率满足《大气污染物综合排放标准》（GB16297-1996）表2中（染料尘）二级标准，甲苯、二甲苯、非甲烷总烃排放满足《工业企业挥发性有机物排放控制标准》（DB13/2322-2016）表1中表面涂装行业排放标准（非甲烷总烃≤60mg/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，甲苯与二甲苯合计≤20mg/m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bidi w:val="0"/>
        <w:adjustRightInd w:val="0"/>
        <w:snapToGrid w:val="0"/>
        <w:spacing w:line="384"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项目焊接过程中产生焊接烟尘，焊接烟尘经焊烟净化器处理后无组织排放。项目部分汽车在打磨腻子的过程中会也会产生少量的打磨废气，此工序产生的废气经自带收尘设备收集后无组织排放， </w:t>
      </w:r>
    </w:p>
    <w:p>
      <w:pPr>
        <w:pStyle w:val="7"/>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预测结果可知，厂界颗粒物无组织排放浓度满足《大气污染物综合排放标准》(GB16297-1996)中表2新污染源大气污染物排放限值无组织排放监控浓度限值；甲苯、二甲苯和非甲烷总烃厂界浓度满足《工业企业挥发性有机物排放控制标准》(DB13/2322-2016)表2企业边界大气污染物浓度限值（其他企业）；非甲烷总烃厂区浓度满足《挥发性有机物无组织排放控制标准》（GB37822-2019）中表A.1厂区内VOCs无组织特别排放限值要求。</w:t>
      </w:r>
    </w:p>
    <w:p>
      <w:pPr>
        <w:keepNext w:val="0"/>
        <w:keepLines w:val="0"/>
        <w:pageBreakBefore w:val="0"/>
        <w:widowControl w:val="0"/>
        <w:kinsoku/>
        <w:wordWrap/>
        <w:overflowPunct/>
        <w:topLinePunct w:val="0"/>
        <w:bidi w:val="0"/>
        <w:adjustRightInd w:val="0"/>
        <w:snapToGrid w:val="0"/>
        <w:spacing w:line="384"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2）废水</w:t>
      </w:r>
    </w:p>
    <w:p>
      <w:pPr>
        <w:keepNext w:val="0"/>
        <w:keepLines w:val="0"/>
        <w:pageBreakBefore w:val="0"/>
        <w:widowControl w:val="0"/>
        <w:kinsoku/>
        <w:wordWrap/>
        <w:overflowPunct/>
        <w:topLinePunct w:val="0"/>
        <w:bidi w:val="0"/>
        <w:adjustRightInd w:val="0"/>
        <w:snapToGrid w:val="0"/>
        <w:spacing w:line="384"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项目生产过程无生产废水产生，主要为办公生活污水，办公生活污水经厂区化粪池处理后排入市政管网，最终进入沧州市运东污水处理厂进行处理。废水治理措施可行。</w:t>
      </w:r>
    </w:p>
    <w:p>
      <w:pPr>
        <w:keepNext w:val="0"/>
        <w:keepLines w:val="0"/>
        <w:pageBreakBefore w:val="0"/>
        <w:widowControl w:val="0"/>
        <w:kinsoku/>
        <w:wordWrap/>
        <w:overflowPunct/>
        <w:topLinePunct w:val="0"/>
        <w:bidi w:val="0"/>
        <w:adjustRightInd w:val="0"/>
        <w:snapToGrid w:val="0"/>
        <w:spacing w:line="384" w:lineRule="auto"/>
        <w:ind w:firstLine="480" w:firstLineChars="200"/>
        <w:textAlignment w:val="auto"/>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rPr>
        <w:t>）噪声</w:t>
      </w:r>
    </w:p>
    <w:p>
      <w:pPr>
        <w:keepNext w:val="0"/>
        <w:keepLines w:val="0"/>
        <w:pageBreakBefore w:val="0"/>
        <w:widowControl w:val="0"/>
        <w:kinsoku/>
        <w:wordWrap/>
        <w:overflowPunct/>
        <w:topLinePunct w:val="0"/>
        <w:autoSpaceDE w:val="0"/>
        <w:autoSpaceDN w:val="0"/>
        <w:bidi w:val="0"/>
        <w:adjustRightInd w:val="0"/>
        <w:snapToGrid w:val="0"/>
        <w:spacing w:line="384"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噪声源主要来自喷枪、焊机、空气压缩机等设备产生噪声。通过优先选用低噪声设备，车间内合理布置并做基础减振，同时严格生产运行时间，噪声再经距离衰减，厂界东、南侧和北侧噪声可以达到《工业企业厂界环境噪声排放标准》（GB12348－2008）中的2类标准要求，西侧厂界满足《工业企业厂界环境噪声排放标准》（GB12348－2008）中的4a类标准要求。对周围环境影响较小，噪声防治措施可行。</w:t>
      </w:r>
    </w:p>
    <w:p>
      <w:pPr>
        <w:keepNext w:val="0"/>
        <w:keepLines w:val="0"/>
        <w:pageBreakBefore w:val="0"/>
        <w:widowControl w:val="0"/>
        <w:kinsoku/>
        <w:wordWrap/>
        <w:overflowPunct/>
        <w:topLinePunct w:val="0"/>
        <w:bidi w:val="0"/>
        <w:adjustRightInd w:val="0"/>
        <w:snapToGrid w:val="0"/>
        <w:spacing w:line="384" w:lineRule="auto"/>
        <w:ind w:firstLine="480" w:firstLineChars="200"/>
        <w:textAlignment w:val="auto"/>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rPr>
        <w:t>）固废</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营运期产生的固体废物主要为废零部件、焊渣、废旧金属和废砂纸为一般工业固废，经建设单位收集后外售；废机油、废机滤、废油漆桶、废机油桶、废过滤棉、废活性炭、漆渣为危险废物，由建设单位按照要求收集后暂存在厂区危废间内，委托有资质单位处置。</w:t>
      </w:r>
      <w:r>
        <w:rPr>
          <w:rFonts w:hint="default" w:ascii="Times New Roman" w:hAnsi="Times New Roman" w:eastAsia="宋体" w:cs="Times New Roman"/>
          <w:kern w:val="0"/>
          <w:sz w:val="24"/>
          <w:szCs w:val="24"/>
        </w:rPr>
        <w:t>职工办公生活产生的生活垃圾，由环卫部门定期收集后处理</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bidi w:val="0"/>
        <w:adjustRightInd w:val="0"/>
        <w:snapToGrid w:val="0"/>
        <w:spacing w:line="384" w:lineRule="auto"/>
        <w:ind w:firstLine="482"/>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综上，项目产生的固废均得到了妥善的处理，固废治理措施可行。</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b/>
          <w:sz w:val="24"/>
          <w:szCs w:val="24"/>
          <w:lang w:val="en-US" w:eastAsia="zh-CN"/>
        </w:rPr>
      </w:pPr>
      <w:r>
        <w:rPr>
          <w:rFonts w:hint="default" w:ascii="Times New Roman" w:hAnsi="Times New Roman" w:eastAsia="宋体" w:cs="Times New Roman"/>
          <w:b/>
          <w:sz w:val="24"/>
          <w:szCs w:val="24"/>
          <w:lang w:val="en-US" w:eastAsia="zh-CN"/>
        </w:rPr>
        <w:t>4、总量控制</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建议污染物总量控制指标分别为SO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：0t/a，NO</w:t>
      </w:r>
      <w:r>
        <w:rPr>
          <w:rFonts w:hint="default" w:ascii="Times New Roman" w:hAnsi="Times New Roman" w:eastAsia="宋体" w:cs="Times New Roman"/>
          <w:sz w:val="24"/>
          <w:szCs w:val="24"/>
          <w:vertAlign w:val="subscript"/>
          <w:lang w:val="en-US" w:eastAsia="zh-CN"/>
        </w:rPr>
        <w:t>X</w:t>
      </w:r>
      <w:r>
        <w:rPr>
          <w:rFonts w:hint="default" w:ascii="Times New Roman" w:hAnsi="Times New Roman" w:eastAsia="宋体" w:cs="Times New Roman"/>
          <w:sz w:val="24"/>
          <w:szCs w:val="24"/>
          <w:lang w:val="en-US" w:eastAsia="zh-CN"/>
        </w:rPr>
        <w:t>：0t/a；COD：0 t/a，氨氮：0t/a</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5、结论</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综上分析，沧州市新华区路捷汽车维修服务中心汽车维修项目符合区域规划，项目选址合理；项目建设符合国家产业政策；污染物治理措施有效，外排污染物均可达标排放，对周围环境的影响较小。从环保角度分析，本次评价项目的建设是可行的。</w:t>
      </w:r>
    </w:p>
    <w:p>
      <w:pPr>
        <w:pStyle w:val="5"/>
        <w:keepNext w:val="0"/>
        <w:keepLines w:val="0"/>
        <w:pageBreakBefore w:val="0"/>
        <w:widowControl w:val="0"/>
        <w:kinsoku/>
        <w:wordWrap/>
        <w:overflowPunct/>
        <w:topLinePunct w:val="0"/>
        <w:autoSpaceDE/>
        <w:autoSpaceDN/>
        <w:bidi w:val="0"/>
        <w:adjustRightInd w:val="0"/>
        <w:snapToGrid w:val="0"/>
        <w:spacing w:line="384" w:lineRule="auto"/>
        <w:textAlignment w:val="auto"/>
        <w:outlineLvl w:val="2"/>
        <w:rPr>
          <w:rFonts w:hint="default" w:ascii="Times New Roman" w:hAnsi="Times New Roman" w:eastAsia="宋体" w:cs="Times New Roman"/>
          <w:b/>
          <w:bCs/>
          <w:sz w:val="24"/>
          <w:szCs w:val="24"/>
          <w:lang w:eastAsia="zh-CN"/>
        </w:rPr>
      </w:pPr>
      <w:bookmarkStart w:id="192" w:name="_Toc19267"/>
      <w:r>
        <w:rPr>
          <w:rFonts w:hint="default" w:ascii="Times New Roman" w:hAnsi="Times New Roman" w:eastAsia="宋体" w:cs="Times New Roman"/>
          <w:b/>
          <w:bCs/>
          <w:sz w:val="24"/>
          <w:szCs w:val="24"/>
          <w:lang w:eastAsia="zh-CN"/>
        </w:rPr>
        <w:t>4.1.</w:t>
      </w:r>
      <w:r>
        <w:rPr>
          <w:rFonts w:hint="default" w:ascii="Times New Roman" w:hAnsi="Times New Roman" w:eastAsia="宋体" w:cs="Times New Roman"/>
          <w:b/>
          <w:bCs/>
          <w:sz w:val="24"/>
          <w:szCs w:val="24"/>
          <w:lang w:val="en-US" w:eastAsia="zh-CN"/>
        </w:rPr>
        <w:t>2</w:t>
      </w:r>
      <w:r>
        <w:rPr>
          <w:rFonts w:hint="default" w:ascii="Times New Roman" w:hAnsi="Times New Roman" w:eastAsia="宋体" w:cs="Times New Roman"/>
          <w:b/>
          <w:bCs/>
          <w:sz w:val="24"/>
          <w:szCs w:val="24"/>
          <w:lang w:eastAsia="zh-CN"/>
        </w:rPr>
        <w:t xml:space="preserve"> 建议</w:t>
      </w:r>
      <w:bookmarkEnd w:id="192"/>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rPr>
      </w:pPr>
      <w:bookmarkStart w:id="193" w:name="_Toc27551"/>
      <w:bookmarkStart w:id="194" w:name="_Toc19945"/>
      <w:bookmarkStart w:id="195" w:name="_Toc3545"/>
      <w:bookmarkStart w:id="196" w:name="_Toc13890"/>
      <w:r>
        <w:rPr>
          <w:rFonts w:hint="default" w:ascii="Times New Roman" w:hAnsi="Times New Roman" w:eastAsia="宋体" w:cs="Times New Roman"/>
          <w:sz w:val="24"/>
          <w:szCs w:val="24"/>
        </w:rPr>
        <w:t>（1）严格执行“三同时”制度，加强宣传教育，增强人群的环境保护意识及安全意识。</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（2）加强设备维护管理，定期检查、维护，保证设备正常运行，减轻后续污染。</w:t>
      </w:r>
    </w:p>
    <w:p>
      <w:pPr>
        <w:keepNext w:val="0"/>
        <w:keepLines w:val="0"/>
        <w:pageBreakBefore w:val="0"/>
        <w:widowControl w:val="0"/>
        <w:kinsoku/>
        <w:wordWrap/>
        <w:overflowPunct/>
        <w:topLinePunct w:val="0"/>
        <w:bidi w:val="0"/>
        <w:adjustRightInd w:val="0"/>
        <w:snapToGrid w:val="0"/>
        <w:spacing w:line="384" w:lineRule="auto"/>
        <w:ind w:firstLine="48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（3）企业应制定重污染天气应急操作方案，严格落实各项减排措施。</w:t>
      </w:r>
    </w:p>
    <w:p>
      <w:pPr>
        <w:pStyle w:val="4"/>
        <w:keepNext w:val="0"/>
        <w:keepLines w:val="0"/>
        <w:pageBreakBefore w:val="0"/>
        <w:widowControl w:val="0"/>
        <w:kinsoku/>
        <w:wordWrap/>
        <w:overflowPunct/>
        <w:topLinePunct w:val="0"/>
        <w:autoSpaceDE/>
        <w:autoSpaceDN/>
        <w:bidi w:val="0"/>
        <w:adjustRightInd w:val="0"/>
        <w:snapToGrid w:val="0"/>
        <w:spacing w:line="384" w:lineRule="auto"/>
        <w:ind w:left="0" w:leftChars="0" w:right="0" w:rightChars="0" w:firstLine="0" w:firstLineChars="0"/>
        <w:jc w:val="both"/>
        <w:textAlignment w:val="auto"/>
        <w:outlineLvl w:val="1"/>
        <w:rPr>
          <w:rFonts w:hint="default" w:ascii="Times New Roman" w:hAnsi="Times New Roman" w:eastAsia="宋体" w:cs="Times New Roman"/>
          <w:highlight w:val="none"/>
        </w:rPr>
      </w:pPr>
      <w:r>
        <w:rPr>
          <w:rFonts w:hint="default" w:ascii="Times New Roman" w:hAnsi="Times New Roman" w:eastAsia="宋体" w:cs="Times New Roman"/>
        </w:rPr>
        <w:t>4.2 审批部门审</w:t>
      </w:r>
      <w:r>
        <w:rPr>
          <w:rFonts w:hint="default" w:ascii="Times New Roman" w:hAnsi="Times New Roman" w:eastAsia="宋体" w:cs="Times New Roman"/>
          <w:highlight w:val="none"/>
        </w:rPr>
        <w:t>批意见</w:t>
      </w:r>
      <w:bookmarkEnd w:id="193"/>
      <w:bookmarkEnd w:id="194"/>
      <w:bookmarkEnd w:id="195"/>
      <w:bookmarkEnd w:id="196"/>
    </w:p>
    <w:p>
      <w:pPr>
        <w:keepNext w:val="0"/>
        <w:keepLines w:val="0"/>
        <w:pageBreakBefore w:val="0"/>
        <w:widowControl w:val="0"/>
        <w:kinsoku/>
        <w:wordWrap/>
        <w:overflowPunct/>
        <w:topLinePunct w:val="0"/>
        <w:autoSpaceDE/>
        <w:autoSpaceDN/>
        <w:bidi w:val="0"/>
        <w:adjustRightInd w:val="0"/>
        <w:snapToGrid w:val="0"/>
        <w:spacing w:line="384" w:lineRule="auto"/>
        <w:ind w:firstLine="480" w:firstLineChars="200"/>
        <w:textAlignment w:val="auto"/>
        <w:outlineLvl w:val="9"/>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2020年07月，企业</w:t>
      </w:r>
      <w:r>
        <w:rPr>
          <w:rFonts w:hint="eastAsia" w:ascii="Times New Roman" w:hAnsi="Times New Roman" w:cs="Times New Roman"/>
          <w:sz w:val="24"/>
          <w:szCs w:val="24"/>
          <w:highlight w:val="none"/>
          <w:lang w:val="en-US" w:eastAsia="zh-CN"/>
        </w:rPr>
        <w:t>委托沧州硕辉环保科技有限公司</w:t>
      </w:r>
      <w:r>
        <w:rPr>
          <w:rFonts w:hint="default" w:ascii="Times New Roman" w:hAnsi="Times New Roman" w:cs="Times New Roman"/>
          <w:color w:val="auto"/>
          <w:sz w:val="24"/>
          <w:szCs w:val="24"/>
          <w:highlight w:val="none"/>
          <w:lang w:val="en-US" w:eastAsia="zh-CN"/>
        </w:rPr>
        <w:t>编制完成了《</w:t>
      </w:r>
      <w:r>
        <w:rPr>
          <w:rFonts w:hint="eastAsia"/>
          <w:snapToGrid w:val="0"/>
          <w:kern w:val="0"/>
          <w:sz w:val="24"/>
          <w:szCs w:val="24"/>
        </w:rPr>
        <w:t>沧州市新华区路捷汽车维修服务中心汽车维修项目</w:t>
      </w:r>
      <w:r>
        <w:rPr>
          <w:rFonts w:hint="default" w:ascii="Times New Roman" w:hAnsi="Times New Roman" w:cs="Times New Roman"/>
          <w:color w:val="auto"/>
          <w:sz w:val="24"/>
          <w:szCs w:val="24"/>
          <w:lang w:val="en-US" w:eastAsia="zh-CN"/>
        </w:rPr>
        <w:t>环境影响报告表》，</w:t>
      </w:r>
      <w:r>
        <w:rPr>
          <w:rFonts w:hint="eastAsia" w:ascii="Times New Roman" w:hAnsi="Times New Roman" w:cs="Times New Roman"/>
          <w:color w:val="auto"/>
          <w:sz w:val="24"/>
          <w:szCs w:val="24"/>
          <w:lang w:val="en-US" w:eastAsia="zh-CN"/>
        </w:rPr>
        <w:t>并于2020年08月05</w:t>
      </w:r>
      <w:r>
        <w:rPr>
          <w:rFonts w:hint="eastAsia" w:ascii="Times New Roman" w:hAnsi="Times New Roman" w:cs="Times New Roman"/>
          <w:color w:val="auto"/>
          <w:sz w:val="24"/>
          <w:szCs w:val="24"/>
          <w:highlight w:val="none"/>
          <w:lang w:val="en-US" w:eastAsia="zh-CN"/>
        </w:rPr>
        <w:t>日</w:t>
      </w:r>
      <w:r>
        <w:rPr>
          <w:rFonts w:hint="default" w:ascii="Times New Roman" w:hAnsi="Times New Roman" w:cs="Times New Roman"/>
          <w:color w:val="auto"/>
          <w:sz w:val="24"/>
          <w:szCs w:val="24"/>
          <w:highlight w:val="none"/>
          <w:lang w:val="en-US" w:eastAsia="zh-CN"/>
        </w:rPr>
        <w:t>取得了</w:t>
      </w:r>
      <w:r>
        <w:rPr>
          <w:rFonts w:hint="eastAsia" w:ascii="Times New Roman" w:hAnsi="Times New Roman" w:cs="Times New Roman"/>
          <w:color w:val="auto"/>
          <w:sz w:val="24"/>
          <w:szCs w:val="24"/>
          <w:highlight w:val="none"/>
          <w:lang w:val="en-US" w:eastAsia="zh-CN"/>
        </w:rPr>
        <w:t>沧州市生态环境局新华区分局</w:t>
      </w:r>
      <w:r>
        <w:rPr>
          <w:rFonts w:hint="default" w:ascii="Times New Roman" w:hAnsi="Times New Roman" w:cs="Times New Roman"/>
          <w:color w:val="auto"/>
          <w:sz w:val="24"/>
          <w:szCs w:val="24"/>
          <w:highlight w:val="none"/>
          <w:lang w:val="en-US" w:eastAsia="zh-CN"/>
        </w:rPr>
        <w:t>的</w:t>
      </w:r>
      <w:r>
        <w:rPr>
          <w:rFonts w:hint="eastAsia" w:ascii="Times New Roman" w:hAnsi="Times New Roman" w:cs="Times New Roman"/>
          <w:color w:val="auto"/>
          <w:sz w:val="24"/>
          <w:szCs w:val="24"/>
          <w:highlight w:val="none"/>
          <w:lang w:val="en-US" w:eastAsia="zh-CN"/>
        </w:rPr>
        <w:t>审批</w:t>
      </w:r>
      <w:r>
        <w:rPr>
          <w:rFonts w:hint="default" w:ascii="Times New Roman" w:hAnsi="Times New Roman" w:cs="Times New Roman"/>
          <w:color w:val="auto"/>
          <w:sz w:val="24"/>
          <w:szCs w:val="24"/>
          <w:highlight w:val="none"/>
          <w:lang w:val="en-US" w:eastAsia="zh-CN"/>
        </w:rPr>
        <w:t>，批复文号为</w:t>
      </w:r>
      <w:r>
        <w:rPr>
          <w:rFonts w:hint="eastAsia" w:ascii="Times New Roman" w:hAnsi="Times New Roman" w:cs="Times New Roman"/>
          <w:sz w:val="24"/>
          <w:szCs w:val="24"/>
          <w:highlight w:val="none"/>
          <w:lang w:eastAsia="zh-CN"/>
        </w:rPr>
        <w:t>沧新环表[2020]11号</w:t>
      </w:r>
      <w:r>
        <w:rPr>
          <w:rFonts w:hint="eastAsia"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lang w:val="en-US" w:eastAsia="zh-CN"/>
        </w:rPr>
        <w:t>详见附件1</w:t>
      </w:r>
      <w:r>
        <w:rPr>
          <w:rFonts w:hint="default" w:ascii="Times New Roman" w:hAnsi="Times New Roman" w:cs="Times New Roman"/>
          <w:color w:val="auto"/>
          <w:sz w:val="24"/>
          <w:lang w:val="en-US" w:eastAsia="zh-CN"/>
        </w:rPr>
        <w:t>。</w:t>
      </w:r>
    </w:p>
    <w:p>
      <w:pPr>
        <w:pStyle w:val="4"/>
        <w:keepNext w:val="0"/>
        <w:keepLines w:val="0"/>
        <w:pageBreakBefore w:val="0"/>
        <w:widowControl w:val="0"/>
        <w:kinsoku/>
        <w:wordWrap/>
        <w:overflowPunct/>
        <w:topLinePunct w:val="0"/>
        <w:bidi w:val="0"/>
        <w:adjustRightInd w:val="0"/>
        <w:snapToGrid w:val="0"/>
        <w:spacing w:line="384" w:lineRule="auto"/>
        <w:textAlignment w:val="auto"/>
        <w:rPr>
          <w:rFonts w:hint="default" w:ascii="Times New Roman" w:hAnsi="Times New Roman" w:eastAsia="宋体" w:cs="Times New Roman"/>
        </w:rPr>
      </w:pPr>
      <w:bookmarkStart w:id="197" w:name="_Toc2514"/>
      <w:bookmarkStart w:id="198" w:name="_Toc1379"/>
      <w:bookmarkStart w:id="199" w:name="_Toc29925"/>
      <w:bookmarkStart w:id="200" w:name="_Toc21874"/>
      <w:r>
        <w:rPr>
          <w:rFonts w:hint="default" w:ascii="Times New Roman" w:hAnsi="Times New Roman" w:eastAsia="宋体" w:cs="Times New Roman"/>
        </w:rPr>
        <w:t>4.3 审批意见落实情况</w:t>
      </w:r>
      <w:bookmarkEnd w:id="197"/>
      <w:bookmarkEnd w:id="198"/>
      <w:bookmarkEnd w:id="199"/>
      <w:bookmarkEnd w:id="200"/>
    </w:p>
    <w:p>
      <w:pPr>
        <w:keepNext w:val="0"/>
        <w:keepLines w:val="0"/>
        <w:pageBreakBefore w:val="0"/>
        <w:widowControl w:val="0"/>
        <w:kinsoku/>
        <w:wordWrap/>
        <w:overflowPunct/>
        <w:topLinePunct w:val="0"/>
        <w:autoSpaceDE/>
        <w:autoSpaceDN/>
        <w:bidi w:val="0"/>
        <w:adjustRightInd w:val="0"/>
        <w:snapToGrid w:val="0"/>
        <w:spacing w:line="384"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201" w:name="_Toc497001471"/>
      <w:r>
        <w:rPr>
          <w:rFonts w:hint="default" w:ascii="Times New Roman" w:hAnsi="Times New Roman" w:eastAsia="宋体" w:cs="Times New Roman"/>
          <w:sz w:val="24"/>
          <w:szCs w:val="24"/>
        </w:rPr>
        <w:t>审批意见落实情况详见下表4-1。</w:t>
      </w:r>
      <w:bookmarkEnd w:id="201"/>
    </w:p>
    <w:p>
      <w:pPr>
        <w:keepNext w:val="0"/>
        <w:keepLines w:val="0"/>
        <w:pageBreakBefore w:val="0"/>
        <w:widowControl/>
        <w:kinsoku/>
        <w:wordWrap/>
        <w:overflowPunct/>
        <w:topLinePunct w:val="0"/>
        <w:autoSpaceDE/>
        <w:autoSpaceDN/>
        <w:bidi w:val="0"/>
        <w:adjustRightInd/>
        <w:snapToGrid/>
        <w:spacing w:line="384" w:lineRule="auto"/>
        <w:ind w:left="0" w:leftChars="0" w:right="0" w:rightChars="0" w:firstLine="140" w:firstLineChars="58"/>
        <w:jc w:val="center"/>
        <w:textAlignment w:val="auto"/>
        <w:outlineLvl w:val="9"/>
        <w:rPr>
          <w:rFonts w:hint="default"/>
        </w:rPr>
      </w:pPr>
      <w:r>
        <w:rPr>
          <w:rFonts w:hint="default" w:ascii="Times New Roman" w:hAnsi="Times New Roman" w:eastAsia="宋体" w:cs="Times New Roman"/>
          <w:b/>
          <w:sz w:val="24"/>
          <w:szCs w:val="24"/>
        </w:rPr>
        <w:t>表4-1  环评审批意见落实情况</w:t>
      </w:r>
    </w:p>
    <w:tbl>
      <w:tblPr>
        <w:tblStyle w:val="22"/>
        <w:tblW w:w="88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13" w:type="dxa"/>
          <w:bottom w:w="28" w:type="dxa"/>
          <w:right w:w="113" w:type="dxa"/>
        </w:tblCellMar>
      </w:tblPr>
      <w:tblGrid>
        <w:gridCol w:w="518"/>
        <w:gridCol w:w="6409"/>
        <w:gridCol w:w="19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13" w:type="dxa"/>
            <w:bottom w:w="28" w:type="dxa"/>
            <w:right w:w="113" w:type="dxa"/>
          </w:tblCellMar>
        </w:tblPrEx>
        <w:trPr>
          <w:trHeight w:val="624" w:hRule="atLeast"/>
          <w:jc w:val="center"/>
        </w:trPr>
        <w:tc>
          <w:tcPr>
            <w:tcW w:w="518" w:type="dxa"/>
            <w:tcBorders>
              <w:tl2br w:val="nil"/>
              <w:tr2bl w:val="nil"/>
            </w:tcBorders>
            <w:tcMar>
              <w:top w:w="0" w:type="dxa"/>
              <w:left w:w="0" w:type="dxa"/>
              <w:bottom w:w="0" w:type="dxa"/>
              <w:right w:w="0" w:type="dxa"/>
            </w:tcMar>
            <w:vAlign w:val="center"/>
          </w:tcPr>
          <w:p>
            <w:pPr>
              <w:pStyle w:val="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val="0"/>
                <w:color w:val="auto"/>
                <w:spacing w:val="-10"/>
                <w:sz w:val="21"/>
                <w:szCs w:val="21"/>
              </w:rPr>
            </w:pPr>
            <w:bookmarkStart w:id="202" w:name="_Toc26778"/>
            <w:r>
              <w:rPr>
                <w:rFonts w:hint="default" w:ascii="Times New Roman" w:hAnsi="Times New Roman" w:eastAsia="宋体" w:cs="Times New Roman"/>
                <w:color w:val="auto"/>
                <w:sz w:val="21"/>
                <w:szCs w:val="21"/>
              </w:rPr>
              <w:br w:type="page"/>
            </w:r>
            <w:bookmarkStart w:id="203" w:name="_Toc18687"/>
            <w:bookmarkStart w:id="204" w:name="_Toc20001"/>
            <w:r>
              <w:rPr>
                <w:rFonts w:hint="default" w:ascii="Times New Roman" w:hAnsi="Times New Roman" w:eastAsia="宋体" w:cs="Times New Roman"/>
                <w:b/>
                <w:bCs w:val="0"/>
                <w:color w:val="auto"/>
                <w:spacing w:val="-10"/>
                <w:sz w:val="21"/>
                <w:szCs w:val="21"/>
              </w:rPr>
              <w:t>序号</w:t>
            </w:r>
            <w:bookmarkEnd w:id="203"/>
            <w:bookmarkEnd w:id="204"/>
          </w:p>
        </w:tc>
        <w:tc>
          <w:tcPr>
            <w:tcW w:w="6409"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审批意见内容</w:t>
            </w:r>
          </w:p>
        </w:tc>
        <w:tc>
          <w:tcPr>
            <w:tcW w:w="1910"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13" w:type="dxa"/>
            <w:bottom w:w="28" w:type="dxa"/>
            <w:right w:w="113" w:type="dxa"/>
          </w:tblCellMar>
        </w:tblPrEx>
        <w:trPr>
          <w:trHeight w:val="624" w:hRule="atLeast"/>
          <w:jc w:val="center"/>
        </w:trPr>
        <w:tc>
          <w:tcPr>
            <w:tcW w:w="518"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6409"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r>
              <w:rPr>
                <w:rFonts w:hint="default" w:cs="Times New Roman"/>
              </w:rPr>
              <w:t>：</w:t>
            </w:r>
            <w:r>
              <w:rPr>
                <w:rFonts w:hint="eastAsia" w:cs="Times New Roman"/>
                <w:lang w:eastAsia="zh-CN"/>
              </w:rPr>
              <w:t>沧州市新华区路捷汽车维修服务中心</w:t>
            </w:r>
          </w:p>
        </w:tc>
        <w:tc>
          <w:tcPr>
            <w:tcW w:w="1910"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13" w:type="dxa"/>
            <w:bottom w:w="28" w:type="dxa"/>
            <w:right w:w="113" w:type="dxa"/>
          </w:tblCellMar>
        </w:tblPrEx>
        <w:trPr>
          <w:trHeight w:val="624" w:hRule="atLeast"/>
          <w:jc w:val="center"/>
        </w:trPr>
        <w:tc>
          <w:tcPr>
            <w:tcW w:w="518"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2</w:t>
            </w:r>
          </w:p>
        </w:tc>
        <w:tc>
          <w:tcPr>
            <w:tcW w:w="6409" w:type="dxa"/>
            <w:tcBorders>
              <w:tl2br w:val="nil"/>
              <w:tr2bl w:val="nil"/>
            </w:tcBorders>
            <w:tcMar>
              <w:top w:w="0" w:type="dxa"/>
              <w:left w:w="0" w:type="dxa"/>
              <w:bottom w:w="0" w:type="dxa"/>
              <w:right w:w="0" w:type="dxa"/>
            </w:tcMar>
            <w:vAlign w:val="center"/>
          </w:tcPr>
          <w:p>
            <w:pPr>
              <w:keepNext w:val="0"/>
              <w:keepLines w:val="0"/>
              <w:numPr>
                <w:ilvl w:val="0"/>
                <w:numId w:val="1"/>
              </w:numPr>
              <w:suppressLineNumbers w:val="0"/>
              <w:spacing w:before="0" w:beforeAutospacing="0" w:after="0" w:afterAutospacing="0"/>
              <w:ind w:left="0" w:right="0"/>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eastAsia="zh-CN"/>
              </w:rPr>
              <w:t>废</w:t>
            </w:r>
            <w:r>
              <w:rPr>
                <w:rFonts w:hint="eastAsia" w:ascii="Times New Roman" w:hAnsi="Times New Roman" w:eastAsia="宋体" w:cs="Times New Roman"/>
                <w:kern w:val="2"/>
                <w:sz w:val="21"/>
                <w:szCs w:val="21"/>
                <w:lang w:val="en-US" w:eastAsia="zh-CN" w:bidi="ar-SA"/>
              </w:rPr>
              <w:t>气：有组织废气经过滤棉+光氧废气处理设备+活性炭吸附装置处理后，由1根15m高排气筒排放，须满足《工业企业挥发性有机物排放控制标准》（DB13/2322-2016）表1表面涂装业大气污染物排放限值要求，颗粒物排放须满足《大气污染物综合排放标准》（GB16392-1996）表2颗粒物（染料尘）二级排放限值要求；无组织废气须执行《工业企业挥发性有机物排放控制标准》(DB13/2322-2016)表2其他企业边界浓度限值和《大气污染物综合排放标准》（GB16297-1996）表2无组织排放监控浓度限值和《挥发性有机物无组织排放控制标准》（GB37822-2019）附录A。</w:t>
            </w:r>
          </w:p>
        </w:tc>
        <w:tc>
          <w:tcPr>
            <w:tcW w:w="1910" w:type="dxa"/>
            <w:tcBorders>
              <w:tl2br w:val="nil"/>
              <w:tr2bl w:val="nil"/>
            </w:tcBorders>
            <w:tcMar>
              <w:top w:w="0" w:type="dxa"/>
              <w:left w:w="0" w:type="dxa"/>
              <w:bottom w:w="0" w:type="dxa"/>
              <w:right w:w="0" w:type="dxa"/>
            </w:tcMar>
            <w:vAlign w:val="center"/>
          </w:tcPr>
          <w:p>
            <w:pPr>
              <w:pStyle w:val="40"/>
              <w:keepNext w:val="0"/>
              <w:keepLines w:val="0"/>
              <w:suppressLineNumbers w:val="0"/>
              <w:spacing w:before="0" w:beforeAutospacing="0" w:after="0" w:afterAutospacing="0" w:line="240" w:lineRule="auto"/>
              <w:ind w:left="0" w:right="0"/>
              <w:rPr>
                <w:rFonts w:hint="default" w:ascii="Times New Roman" w:hAnsi="Times New Roman" w:eastAsia="宋体" w:cs="Times New Roman"/>
                <w:b w:val="0"/>
                <w:bCs/>
                <w:szCs w:val="21"/>
                <w:lang w:val="en-US" w:eastAsia="zh-CN"/>
              </w:rPr>
            </w:pPr>
            <w:r>
              <w:rPr>
                <w:rFonts w:hint="eastAsia" w:ascii="Times New Roman" w:hAnsi="Times New Roman" w:cs="Times New Roman"/>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13" w:type="dxa"/>
            <w:bottom w:w="28" w:type="dxa"/>
            <w:right w:w="113" w:type="dxa"/>
          </w:tblCellMar>
        </w:tblPrEx>
        <w:trPr>
          <w:trHeight w:val="624" w:hRule="atLeast"/>
          <w:jc w:val="center"/>
        </w:trPr>
        <w:tc>
          <w:tcPr>
            <w:tcW w:w="518"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3</w:t>
            </w:r>
          </w:p>
        </w:tc>
        <w:tc>
          <w:tcPr>
            <w:tcW w:w="6409" w:type="dxa"/>
            <w:tcBorders>
              <w:tl2br w:val="nil"/>
              <w:tr2bl w:val="nil"/>
            </w:tcBorders>
            <w:tcMar>
              <w:top w:w="0" w:type="dxa"/>
              <w:left w:w="0" w:type="dxa"/>
              <w:bottom w:w="0" w:type="dxa"/>
              <w:right w:w="0" w:type="dxa"/>
            </w:tcMar>
            <w:vAlign w:val="center"/>
          </w:tcPr>
          <w:p>
            <w:pPr>
              <w:pStyle w:val="33"/>
              <w:keepNext w:val="0"/>
              <w:keepLines w:val="0"/>
              <w:suppressLineNumbers w:val="0"/>
              <w:spacing w:before="0" w:beforeAutospacing="0" w:after="0" w:afterAutospacing="0"/>
              <w:ind w:left="0" w:leftChars="0" w:right="0" w:firstLine="0" w:firstLineChars="0"/>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废水：生活污水经化粪池处理后进入城市管网</w:t>
            </w:r>
            <w:bookmarkStart w:id="366" w:name="_GoBack"/>
            <w:bookmarkEnd w:id="366"/>
          </w:p>
        </w:tc>
        <w:tc>
          <w:tcPr>
            <w:tcW w:w="1910" w:type="dxa"/>
            <w:tcBorders>
              <w:tl2br w:val="nil"/>
              <w:tr2bl w:val="nil"/>
            </w:tcBorders>
            <w:tcMar>
              <w:top w:w="0" w:type="dxa"/>
              <w:left w:w="0" w:type="dxa"/>
              <w:bottom w:w="0" w:type="dxa"/>
              <w:right w:w="0" w:type="dxa"/>
            </w:tcMar>
            <w:vAlign w:val="center"/>
          </w:tcPr>
          <w:p>
            <w:pPr>
              <w:pStyle w:val="40"/>
              <w:keepNext w:val="0"/>
              <w:keepLines w:val="0"/>
              <w:suppressLineNumbers w:val="0"/>
              <w:spacing w:before="0" w:beforeAutospacing="0" w:after="0" w:afterAutospacing="0" w:line="240" w:lineRule="auto"/>
              <w:ind w:left="0" w:right="0"/>
              <w:rPr>
                <w:rFonts w:hint="eastAsia" w:ascii="Times New Roman" w:hAnsi="Times New Roman" w:cs="Times New Roman"/>
                <w:b w:val="0"/>
                <w:bCs w:val="0"/>
                <w:sz w:val="21"/>
                <w:szCs w:val="21"/>
                <w:lang w:eastAsia="zh-CN"/>
              </w:rPr>
            </w:pPr>
            <w:r>
              <w:rPr>
                <w:rFonts w:hint="eastAsia" w:ascii="Times New Roman" w:hAnsi="Times New Roman" w:cs="Times New Roman"/>
                <w:b w:val="0"/>
                <w:bCs w:val="0"/>
                <w:sz w:val="21"/>
                <w:szCs w:val="21"/>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13" w:type="dxa"/>
            <w:bottom w:w="28" w:type="dxa"/>
            <w:right w:w="113" w:type="dxa"/>
          </w:tblCellMar>
        </w:tblPrEx>
        <w:trPr>
          <w:trHeight w:val="624" w:hRule="atLeast"/>
          <w:jc w:val="center"/>
        </w:trPr>
        <w:tc>
          <w:tcPr>
            <w:tcW w:w="518"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4</w:t>
            </w:r>
          </w:p>
        </w:tc>
        <w:tc>
          <w:tcPr>
            <w:tcW w:w="6409" w:type="dxa"/>
            <w:tcBorders>
              <w:tl2br w:val="nil"/>
              <w:tr2bl w:val="nil"/>
            </w:tcBorders>
            <w:tcMar>
              <w:top w:w="0" w:type="dxa"/>
              <w:left w:w="0" w:type="dxa"/>
              <w:bottom w:w="0" w:type="dxa"/>
              <w:right w:w="0" w:type="dxa"/>
            </w:tcMar>
            <w:vAlign w:val="center"/>
          </w:tcPr>
          <w:p>
            <w:pPr>
              <w:pStyle w:val="33"/>
              <w:keepNext w:val="0"/>
              <w:keepLines w:val="0"/>
              <w:suppressLineNumbers w:val="0"/>
              <w:spacing w:before="0" w:beforeAutospacing="0" w:after="0" w:afterAutospacing="0"/>
              <w:ind w:left="0" w:leftChars="0" w:right="0" w:firstLine="0" w:firstLineChars="0"/>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噪声</w:t>
            </w:r>
            <w:r>
              <w:rPr>
                <w:rFonts w:hint="eastAsia" w:ascii="Times New Roman" w:hAnsi="Times New Roman" w:eastAsia="宋体" w:cs="Times New Roman"/>
                <w:kern w:val="2"/>
                <w:sz w:val="21"/>
                <w:szCs w:val="21"/>
                <w:lang w:val="en-US" w:eastAsia="zh-CN" w:bidi="ar-SA"/>
              </w:rPr>
              <w:t>：厂界噪声须执行《《工业企业厂界环境噪声排放标准》（GB12348-2008）中2类、4类标准</w:t>
            </w:r>
            <w:r>
              <w:rPr>
                <w:rFonts w:hint="default" w:ascii="Times New Roman" w:hAnsi="Times New Roman" w:eastAsia="宋体" w:cs="Times New Roman"/>
                <w:kern w:val="2"/>
                <w:sz w:val="21"/>
                <w:szCs w:val="21"/>
                <w:lang w:val="en-US" w:eastAsia="zh-CN" w:bidi="ar-SA"/>
              </w:rPr>
              <w:t>。</w:t>
            </w:r>
          </w:p>
        </w:tc>
        <w:tc>
          <w:tcPr>
            <w:tcW w:w="1910" w:type="dxa"/>
            <w:tcBorders>
              <w:tl2br w:val="nil"/>
              <w:tr2bl w:val="nil"/>
            </w:tcBorders>
            <w:tcMar>
              <w:top w:w="0" w:type="dxa"/>
              <w:left w:w="0" w:type="dxa"/>
              <w:bottom w:w="0" w:type="dxa"/>
              <w:right w:w="0" w:type="dxa"/>
            </w:tcMar>
            <w:vAlign w:val="center"/>
          </w:tcPr>
          <w:p>
            <w:pPr>
              <w:pStyle w:val="40"/>
              <w:keepNext w:val="0"/>
              <w:keepLines w:val="0"/>
              <w:suppressLineNumbers w:val="0"/>
              <w:spacing w:before="0" w:beforeAutospacing="0" w:after="0" w:afterAutospacing="0" w:line="240" w:lineRule="auto"/>
              <w:ind w:left="0" w:right="0"/>
              <w:rPr>
                <w:rFonts w:hint="default" w:ascii="Times New Roman" w:hAnsi="Times New Roman" w:cs="Times New Roman"/>
                <w:b w:val="0"/>
                <w:bCs/>
                <w:szCs w:val="21"/>
                <w:lang w:val="en-US" w:eastAsia="zh-CN"/>
              </w:rPr>
            </w:pPr>
            <w:r>
              <w:rPr>
                <w:rFonts w:hint="default" w:ascii="Times New Roman" w:hAnsi="Times New Roman"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13" w:type="dxa"/>
            <w:bottom w:w="28" w:type="dxa"/>
            <w:right w:w="113" w:type="dxa"/>
          </w:tblCellMar>
        </w:tblPrEx>
        <w:trPr>
          <w:trHeight w:val="624" w:hRule="atLeast"/>
          <w:jc w:val="center"/>
        </w:trPr>
        <w:tc>
          <w:tcPr>
            <w:tcW w:w="518"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5</w:t>
            </w:r>
          </w:p>
        </w:tc>
        <w:tc>
          <w:tcPr>
            <w:tcW w:w="6409" w:type="dxa"/>
            <w:tcBorders>
              <w:tl2br w:val="nil"/>
              <w:tr2bl w:val="nil"/>
            </w:tcBorders>
            <w:tcMar>
              <w:top w:w="0" w:type="dxa"/>
              <w:left w:w="0" w:type="dxa"/>
              <w:bottom w:w="0" w:type="dxa"/>
              <w:right w:w="0" w:type="dxa"/>
            </w:tcMar>
            <w:vAlign w:val="center"/>
          </w:tcPr>
          <w:p>
            <w:pPr>
              <w:pStyle w:val="33"/>
              <w:keepNext w:val="0"/>
              <w:keepLines w:val="0"/>
              <w:suppressLineNumbers w:val="0"/>
              <w:spacing w:before="0" w:beforeAutospacing="0" w:after="0" w:afterAutospacing="0"/>
              <w:ind w:left="0" w:leftChars="0" w:right="0" w:firstLine="0" w:firstLineChars="0"/>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固废</w:t>
            </w:r>
            <w:r>
              <w:rPr>
                <w:rFonts w:hint="eastAsia" w:ascii="Times New Roman" w:hAnsi="Times New Roman" w:eastAsia="宋体" w:cs="Times New Roman"/>
                <w:kern w:val="2"/>
                <w:sz w:val="21"/>
                <w:szCs w:val="21"/>
                <w:lang w:val="en-US" w:eastAsia="zh-CN" w:bidi="ar-SA"/>
              </w:rPr>
              <w:t>：危险废物须交由具有处置资质的单位处置，更换废旧零部件等回收外售，一般固体废物须合理处置</w:t>
            </w:r>
            <w:r>
              <w:rPr>
                <w:rFonts w:hint="default" w:ascii="Times New Roman" w:hAnsi="Times New Roman" w:eastAsia="宋体" w:cs="Times New Roman"/>
                <w:kern w:val="2"/>
                <w:sz w:val="21"/>
                <w:szCs w:val="21"/>
                <w:lang w:val="en-US" w:eastAsia="zh-CN" w:bidi="ar-SA"/>
              </w:rPr>
              <w:t>。</w:t>
            </w:r>
          </w:p>
        </w:tc>
        <w:tc>
          <w:tcPr>
            <w:tcW w:w="1910" w:type="dxa"/>
            <w:tcBorders>
              <w:tl2br w:val="nil"/>
              <w:tr2bl w:val="nil"/>
            </w:tcBorders>
            <w:tcMar>
              <w:top w:w="0" w:type="dxa"/>
              <w:left w:w="0" w:type="dxa"/>
              <w:bottom w:w="0" w:type="dxa"/>
              <w:right w:w="0" w:type="dxa"/>
            </w:tcMar>
            <w:vAlign w:val="center"/>
          </w:tcPr>
          <w:p>
            <w:pPr>
              <w:pStyle w:val="40"/>
              <w:keepNext w:val="0"/>
              <w:keepLines w:val="0"/>
              <w:suppressLineNumbers w:val="0"/>
              <w:spacing w:before="0" w:beforeAutospacing="0" w:after="0" w:afterAutospacing="0" w:line="240" w:lineRule="auto"/>
              <w:ind w:left="0" w:right="0"/>
              <w:rPr>
                <w:rFonts w:hint="default" w:ascii="Times New Roman" w:hAnsi="Times New Roman" w:cs="Times New Roman"/>
                <w:b w:val="0"/>
                <w:bCs/>
                <w:szCs w:val="21"/>
                <w:lang w:val="en-US" w:eastAsia="zh-CN"/>
              </w:rPr>
            </w:pPr>
            <w:r>
              <w:rPr>
                <w:rFonts w:hint="eastAsia" w:ascii="Times New Roman" w:hAnsi="Times New Roman" w:cs="Times New Roman"/>
                <w:b w:val="0"/>
                <w:bCs/>
                <w:szCs w:val="21"/>
                <w:lang w:val="en-US" w:eastAsia="zh-CN"/>
              </w:rPr>
              <w:t>均妥善处置</w:t>
            </w:r>
          </w:p>
        </w:tc>
      </w:tr>
    </w:tbl>
    <w:p>
      <w:pPr>
        <w:pStyle w:val="3"/>
        <w:rPr>
          <w:rFonts w:hint="default" w:ascii="Times New Roman" w:hAnsi="Times New Roman" w:eastAsia="宋体"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bookmarkStart w:id="205" w:name="_Toc21101"/>
      <w:bookmarkStart w:id="206" w:name="_Toc26718"/>
    </w:p>
    <w:p>
      <w:pPr>
        <w:pStyle w:val="3"/>
        <w:rPr>
          <w:rFonts w:hint="default" w:ascii="Times New Roman" w:hAnsi="Times New Roman" w:eastAsia="宋体" w:cs="Times New Roman"/>
        </w:rPr>
      </w:pPr>
      <w:bookmarkStart w:id="207" w:name="_Toc24089"/>
      <w:r>
        <w:rPr>
          <w:rFonts w:hint="default" w:ascii="Times New Roman" w:hAnsi="Times New Roman" w:eastAsia="宋体" w:cs="Times New Roman"/>
        </w:rPr>
        <w:t>5 验收评价标准</w:t>
      </w:r>
      <w:bookmarkEnd w:id="202"/>
      <w:bookmarkEnd w:id="205"/>
      <w:bookmarkEnd w:id="206"/>
      <w:bookmarkEnd w:id="207"/>
    </w:p>
    <w:p>
      <w:pPr>
        <w:pStyle w:val="4"/>
        <w:rPr>
          <w:rFonts w:hint="default" w:ascii="Times New Roman" w:hAnsi="Times New Roman" w:eastAsia="宋体" w:cs="Times New Roman"/>
        </w:rPr>
      </w:pPr>
      <w:bookmarkStart w:id="208" w:name="_Toc14578"/>
      <w:bookmarkStart w:id="209" w:name="_Toc26520"/>
      <w:bookmarkStart w:id="210" w:name="_Toc21113"/>
      <w:bookmarkStart w:id="211" w:name="_Toc2186"/>
      <w:r>
        <w:rPr>
          <w:rFonts w:hint="default" w:ascii="Times New Roman" w:hAnsi="Times New Roman" w:eastAsia="宋体" w:cs="Times New Roman"/>
        </w:rPr>
        <w:t>5.1 污染物排放标准</w:t>
      </w:r>
      <w:bookmarkEnd w:id="208"/>
      <w:bookmarkEnd w:id="209"/>
      <w:bookmarkEnd w:id="210"/>
      <w:bookmarkEnd w:id="211"/>
    </w:p>
    <w:p>
      <w:pPr>
        <w:pStyle w:val="5"/>
        <w:rPr>
          <w:rFonts w:hint="default" w:ascii="Times New Roman" w:hAnsi="Times New Roman" w:eastAsia="宋体" w:cs="Times New Roman"/>
        </w:rPr>
      </w:pPr>
      <w:bookmarkStart w:id="212" w:name="_Toc497001474"/>
      <w:bookmarkStart w:id="213" w:name="_Toc496979035"/>
      <w:bookmarkStart w:id="214" w:name="_Toc11116"/>
      <w:bookmarkStart w:id="215" w:name="_Toc28501"/>
      <w:bookmarkStart w:id="216" w:name="_Toc14938"/>
      <w:bookmarkStart w:id="217" w:name="_Toc23230"/>
      <w:r>
        <w:rPr>
          <w:rFonts w:hint="default" w:ascii="Times New Roman" w:hAnsi="Times New Roman" w:eastAsia="宋体" w:cs="Times New Roman"/>
        </w:rPr>
        <w:t xml:space="preserve">5.1.1 </w:t>
      </w:r>
      <w:bookmarkEnd w:id="212"/>
      <w:bookmarkEnd w:id="213"/>
      <w:r>
        <w:rPr>
          <w:rFonts w:hint="default" w:ascii="Times New Roman" w:hAnsi="Times New Roman" w:eastAsia="宋体" w:cs="Times New Roman"/>
        </w:rPr>
        <w:t>废气</w:t>
      </w:r>
      <w:bookmarkEnd w:id="214"/>
      <w:bookmarkEnd w:id="215"/>
      <w:bookmarkEnd w:id="216"/>
      <w:bookmarkEnd w:id="217"/>
    </w:p>
    <w:p>
      <w:pPr>
        <w:pStyle w:val="5"/>
        <w:ind w:firstLine="480" w:firstLineChars="200"/>
        <w:rPr>
          <w:rFonts w:hint="default" w:ascii="Times New Roman" w:hAnsi="Times New Roman" w:eastAsia="宋体" w:cs="Times New Roman"/>
          <w:lang w:eastAsia="zh-CN"/>
        </w:rPr>
      </w:pPr>
      <w:bookmarkStart w:id="218" w:name="_Toc7036"/>
      <w:bookmarkStart w:id="219" w:name="_Toc15961"/>
      <w:bookmarkStart w:id="220" w:name="_Toc26892"/>
      <w:bookmarkStart w:id="221" w:name="_Toc29236"/>
      <w:bookmarkStart w:id="222" w:name="_Toc29912"/>
      <w:r>
        <w:rPr>
          <w:rFonts w:hint="default" w:ascii="Times New Roman" w:hAnsi="Times New Roman" w:eastAsia="宋体" w:cs="Times New Roman"/>
          <w:lang w:eastAsia="zh-CN"/>
        </w:rPr>
        <w:t>废气执行标准见表</w:t>
      </w:r>
      <w:r>
        <w:rPr>
          <w:rFonts w:hint="default" w:ascii="Times New Roman" w:hAnsi="Times New Roman" w:eastAsia="宋体" w:cs="Times New Roman"/>
          <w:lang w:val="en-US" w:eastAsia="zh-CN"/>
        </w:rPr>
        <w:t>5-1。</w:t>
      </w:r>
      <w:bookmarkEnd w:id="218"/>
      <w:bookmarkEnd w:id="219"/>
      <w:bookmarkEnd w:id="220"/>
      <w:bookmarkEnd w:id="221"/>
      <w:bookmarkEnd w:id="222"/>
    </w:p>
    <w:p>
      <w:pPr>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  废气执行标准</w:t>
      </w:r>
    </w:p>
    <w:tbl>
      <w:tblPr>
        <w:tblStyle w:val="22"/>
        <w:tblW w:w="501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125"/>
        <w:gridCol w:w="2504"/>
        <w:gridCol w:w="47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674" w:type="pct"/>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1500" w:type="pct"/>
            <w:tcBorders>
              <w:tl2br w:val="nil"/>
              <w:tr2bl w:val="nil"/>
            </w:tcBorders>
            <w:tcMar>
              <w:top w:w="0" w:type="dxa"/>
              <w:left w:w="0" w:type="dxa"/>
              <w:bottom w:w="0" w:type="dxa"/>
              <w:right w:w="0" w:type="dxa"/>
            </w:tcMar>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2825" w:type="pct"/>
            <w:tcBorders>
              <w:tl2br w:val="nil"/>
              <w:tr2bl w:val="nil"/>
            </w:tcBorders>
            <w:tcMar>
              <w:top w:w="0" w:type="dxa"/>
              <w:left w:w="0" w:type="dxa"/>
              <w:bottom w:w="0" w:type="dxa"/>
              <w:right w:w="0" w:type="dxa"/>
            </w:tcMar>
            <w:vAlign w:val="center"/>
          </w:tcPr>
          <w:p>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674" w:type="pct"/>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喷漆烘烤</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工序</w:t>
            </w:r>
          </w:p>
        </w:tc>
        <w:tc>
          <w:tcPr>
            <w:tcW w:w="1500" w:type="pct"/>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eastAsia" w:ascii="Times New Roman" w:hAnsi="Times New Roman" w:cs="Times New Roman"/>
                <w:sz w:val="21"/>
                <w:szCs w:val="21"/>
                <w:lang w:eastAsia="zh-CN"/>
              </w:rPr>
              <w:t>颗粒物</w:t>
            </w:r>
            <w:r>
              <w:rPr>
                <w:rFonts w:hint="default" w:ascii="Times New Roman" w:hAnsi="Times New Roman" w:eastAsia="宋体" w:cs="Times New Roman"/>
                <w:sz w:val="21"/>
                <w:szCs w:val="21"/>
              </w:rPr>
              <w:t>排放</w:t>
            </w:r>
            <w:r>
              <w:rPr>
                <w:rFonts w:hint="eastAsia" w:ascii="Times New Roman" w:hAnsi="Times New Roman" w:eastAsia="宋体" w:cs="Times New Roman"/>
                <w:sz w:val="21"/>
                <w:szCs w:val="21"/>
                <w:lang w:eastAsia="zh-CN"/>
              </w:rPr>
              <w:t>浓度</w:t>
            </w:r>
            <w:r>
              <w:rPr>
                <w:rFonts w:hint="default" w:ascii="Times New Roman" w:hAnsi="Times New Roman" w:eastAsia="宋体" w:cs="Times New Roman"/>
                <w:sz w:val="21"/>
                <w:szCs w:val="21"/>
              </w:rPr>
              <w:t>：</w:t>
            </w:r>
            <w:r>
              <w:rPr>
                <w:rFonts w:hint="eastAsia" w:ascii="Times New Roman" w:hAnsi="Times New Roman" w:cs="Times New Roman"/>
                <w:sz w:val="21"/>
                <w:szCs w:val="21"/>
                <w:lang w:val="en-US" w:eastAsia="zh-CN"/>
              </w:rPr>
              <w:t>18</w:t>
            </w: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eastAsia="zh-CN"/>
              </w:rPr>
              <w:t>颗粒物</w:t>
            </w:r>
            <w:r>
              <w:rPr>
                <w:rFonts w:hint="default" w:ascii="Times New Roman" w:hAnsi="Times New Roman" w:eastAsia="宋体" w:cs="Times New Roman"/>
                <w:sz w:val="21"/>
                <w:szCs w:val="21"/>
              </w:rPr>
              <w:t>排放</w:t>
            </w:r>
            <w:r>
              <w:rPr>
                <w:rFonts w:hint="eastAsia" w:ascii="Times New Roman" w:hAnsi="Times New Roman" w:eastAsia="宋体" w:cs="Times New Roman"/>
                <w:sz w:val="21"/>
                <w:szCs w:val="21"/>
                <w:lang w:eastAsia="zh-CN"/>
              </w:rPr>
              <w:t>速率：</w:t>
            </w:r>
            <w:r>
              <w:rPr>
                <w:rFonts w:hint="eastAsia" w:ascii="Times New Roman" w:hAnsi="Times New Roman" w:cs="Times New Roman"/>
                <w:sz w:val="21"/>
                <w:szCs w:val="21"/>
                <w:lang w:val="en-US" w:eastAsia="zh-CN"/>
              </w:rPr>
              <w:t>0.51</w:t>
            </w:r>
            <w:r>
              <w:rPr>
                <w:rFonts w:hint="eastAsia" w:ascii="Times New Roman" w:hAnsi="Times New Roman" w:eastAsia="宋体" w:cs="Times New Roman"/>
                <w:sz w:val="21"/>
                <w:szCs w:val="21"/>
                <w:lang w:val="en-US" w:eastAsia="zh-CN"/>
              </w:rPr>
              <w:t>kg/h</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rPr>
            </w:pPr>
            <w:r>
              <w:rPr>
                <w:rFonts w:hint="eastAsia" w:ascii="Times New Roman" w:hAnsi="Times New Roman" w:cs="Times New Roman" w:eastAsiaTheme="minorEastAsia"/>
                <w:b w:val="0"/>
                <w:bCs w:val="0"/>
                <w:sz w:val="21"/>
                <w:szCs w:val="21"/>
                <w:lang w:eastAsia="zh-CN"/>
              </w:rPr>
              <w:t>苯</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1</w:t>
            </w:r>
            <w:r>
              <w:rPr>
                <w:rFonts w:hint="default"/>
              </w:rPr>
              <w:t>mg/m</w:t>
            </w:r>
            <w:r>
              <w:rPr>
                <w:rFonts w:hint="default"/>
                <w:vertAlign w:val="superscript"/>
              </w:rPr>
              <w:t>3</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rPr>
            </w:pPr>
            <w:r>
              <w:rPr>
                <w:rFonts w:hint="eastAsia" w:ascii="Times New Roman" w:hAnsi="Times New Roman" w:cs="Times New Roman" w:eastAsiaTheme="minorEastAsia"/>
                <w:b w:val="0"/>
                <w:bCs w:val="0"/>
                <w:sz w:val="21"/>
                <w:szCs w:val="21"/>
                <w:lang w:eastAsia="zh-CN"/>
              </w:rPr>
              <w:t>甲苯</w:t>
            </w:r>
            <w:r>
              <w:rPr>
                <w:rFonts w:hint="eastAsia" w:ascii="Times New Roman" w:hAnsi="Times New Roman" w:cs="Times New Roman" w:eastAsiaTheme="minorEastAsia"/>
                <w:b w:val="0"/>
                <w:bCs w:val="0"/>
                <w:sz w:val="21"/>
                <w:szCs w:val="21"/>
                <w:lang w:val="en-US" w:eastAsia="zh-CN"/>
              </w:rPr>
              <w:t>+二甲苯</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20</w:t>
            </w:r>
            <w:r>
              <w:rPr>
                <w:rFonts w:hint="default"/>
              </w:rPr>
              <w:t>mg/m</w:t>
            </w:r>
            <w:r>
              <w:rPr>
                <w:rFonts w:hint="default"/>
                <w:vertAlign w:val="superscript"/>
              </w:rPr>
              <w:t>3</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eastAsia" w:ascii="Times New Roman" w:hAnsi="Times New Roman" w:cs="Times New Roman" w:eastAsiaTheme="minorEastAsia"/>
                <w:b w:val="0"/>
                <w:bCs w:val="0"/>
                <w:sz w:val="21"/>
                <w:szCs w:val="21"/>
                <w:vertAlign w:val="subscript"/>
                <w:lang w:val="en-US" w:eastAsia="zh-CN"/>
              </w:rPr>
            </w:pPr>
            <w:r>
              <w:rPr>
                <w:rFonts w:hint="default" w:ascii="Times New Roman" w:hAnsi="Times New Roman" w:cs="Times New Roman"/>
                <w:color w:val="auto"/>
                <w:sz w:val="21"/>
                <w:szCs w:val="21"/>
                <w:lang w:eastAsia="zh-CN"/>
              </w:rPr>
              <w:t>非甲烷总烃</w:t>
            </w:r>
            <w:r>
              <w:rPr>
                <w:rFonts w:hint="eastAsia" w:ascii="Times New Roman" w:hAnsi="Times New Roman" w:cs="Times New Roman"/>
                <w:color w:val="auto"/>
                <w:sz w:val="21"/>
                <w:szCs w:val="21"/>
                <w:lang w:eastAsia="zh-CN"/>
              </w:rPr>
              <w:t>：</w:t>
            </w:r>
            <w:r>
              <w:rPr>
                <w:rFonts w:hint="eastAsia"/>
                <w:lang w:val="en-US" w:eastAsia="zh-CN"/>
              </w:rPr>
              <w:t>60</w:t>
            </w:r>
            <w:r>
              <w:rPr>
                <w:rFonts w:hint="default"/>
              </w:rPr>
              <w:t>mg/m</w:t>
            </w:r>
            <w:r>
              <w:rPr>
                <w:rFonts w:hint="default"/>
                <w:vertAlign w:val="superscript"/>
              </w:rPr>
              <w:t>3</w:t>
            </w:r>
          </w:p>
        </w:tc>
        <w:tc>
          <w:tcPr>
            <w:tcW w:w="2825"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《大气污染物综合排放标准》</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GB 16297-1996</w:t>
            </w:r>
            <w:r>
              <w:rPr>
                <w:rFonts w:hint="eastAsia" w:ascii="Times New Roman" w:hAnsi="Times New Roman" w:cs="Times New Roman"/>
                <w:color w:val="auto"/>
                <w:sz w:val="21"/>
                <w:szCs w:val="21"/>
                <w:lang w:eastAsia="zh-CN"/>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b w:val="0"/>
                <w:bCs/>
                <w:color w:val="auto"/>
                <w:sz w:val="21"/>
                <w:szCs w:val="21"/>
                <w:lang w:val="en-US" w:eastAsia="zh-CN"/>
              </w:rPr>
            </w:pPr>
            <w:r>
              <w:rPr>
                <w:rFonts w:hint="eastAsia" w:ascii="Times New Roman" w:hAnsi="Times New Roman" w:cs="Times New Roman"/>
                <w:color w:val="auto"/>
                <w:sz w:val="21"/>
                <w:szCs w:val="21"/>
                <w:lang w:eastAsia="zh-CN"/>
              </w:rPr>
              <w:t>表</w:t>
            </w:r>
            <w:r>
              <w:rPr>
                <w:rFonts w:hint="eastAsia" w:ascii="Times New Roman" w:hAnsi="Times New Roman" w:cs="Times New Roman"/>
                <w:color w:val="auto"/>
                <w:sz w:val="21"/>
                <w:szCs w:val="21"/>
                <w:lang w:val="en-US" w:eastAsia="zh-CN"/>
              </w:rPr>
              <w:t>2中颗粒物（染料尘）二级标准；</w:t>
            </w:r>
            <w:r>
              <w:rPr>
                <w:rFonts w:hint="default" w:ascii="Times New Roman" w:hAnsi="Times New Roman" w:cs="Times New Roman"/>
                <w:b w:val="0"/>
                <w:bCs/>
                <w:color w:val="auto"/>
                <w:sz w:val="21"/>
                <w:szCs w:val="21"/>
                <w:lang w:val="en-US" w:eastAsia="zh-CN"/>
              </w:rPr>
              <w:t>《工业企业挥发性有机物排放控制标准》（DB 13/2322-2016）表1中</w:t>
            </w:r>
            <w:r>
              <w:rPr>
                <w:rFonts w:hint="eastAsia" w:ascii="Times New Roman" w:hAnsi="Times New Roman" w:cs="Times New Roman"/>
                <w:b w:val="0"/>
                <w:bCs/>
                <w:color w:val="auto"/>
                <w:sz w:val="21"/>
                <w:szCs w:val="21"/>
                <w:lang w:val="en-US" w:eastAsia="zh-CN"/>
              </w:rPr>
              <w:t>表面涂装业</w:t>
            </w:r>
            <w:r>
              <w:rPr>
                <w:rFonts w:hint="default" w:ascii="Times New Roman" w:hAnsi="Times New Roman" w:cs="Times New Roman"/>
                <w:b w:val="0"/>
                <w:bCs/>
                <w:color w:val="auto"/>
                <w:sz w:val="21"/>
                <w:szCs w:val="21"/>
                <w:lang w:val="en-US" w:eastAsia="zh-CN"/>
              </w:rPr>
              <w:t>排放限值要求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674" w:type="pct"/>
            <w:vMerge w:val="restart"/>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厂界</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无组织废气</w:t>
            </w:r>
          </w:p>
        </w:tc>
        <w:tc>
          <w:tcPr>
            <w:tcW w:w="1500"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非甲烷总烃：2.0mg/m</w:t>
            </w:r>
            <w:r>
              <w:rPr>
                <w:rFonts w:hint="default" w:ascii="Times New Roman" w:hAnsi="Times New Roman" w:cs="Times New Roman"/>
                <w:color w:val="auto"/>
                <w:sz w:val="21"/>
                <w:szCs w:val="21"/>
                <w:vertAlign w:val="superscript"/>
                <w:lang w:eastAsia="zh-CN"/>
              </w:rPr>
              <w:t>3</w:t>
            </w:r>
          </w:p>
        </w:tc>
        <w:tc>
          <w:tcPr>
            <w:tcW w:w="2825" w:type="pct"/>
            <w:vMerge w:val="restar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《工业企业挥发性有机物排放控制标准》（DB</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val="en-US" w:eastAsia="zh-CN"/>
              </w:rPr>
              <w:t>13/2322-2016）表2其他企业边界浓度排放限值标准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674" w:type="pct"/>
            <w:vMerge w:val="continue"/>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p>
        </w:tc>
        <w:tc>
          <w:tcPr>
            <w:tcW w:w="1500" w:type="pct"/>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cs="Times New Roman"/>
                <w:color w:val="auto"/>
                <w:sz w:val="21"/>
                <w:szCs w:val="21"/>
                <w:lang w:eastAsia="zh-CN"/>
              </w:rPr>
            </w:pPr>
            <w:r>
              <w:rPr>
                <w:rFonts w:hint="eastAsia" w:ascii="Times New Roman" w:hAnsi="Times New Roman" w:cs="Times New Roman" w:eastAsiaTheme="minorEastAsia"/>
                <w:b w:val="0"/>
                <w:bCs w:val="0"/>
                <w:sz w:val="21"/>
                <w:szCs w:val="21"/>
                <w:lang w:eastAsia="zh-CN"/>
              </w:rPr>
              <w:t>苯</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0.1</w:t>
            </w:r>
            <w:r>
              <w:rPr>
                <w:rFonts w:hint="default"/>
              </w:rPr>
              <w:t>mg/m</w:t>
            </w:r>
            <w:r>
              <w:rPr>
                <w:rFonts w:hint="default"/>
                <w:vertAlign w:val="superscript"/>
              </w:rPr>
              <w:t>3</w:t>
            </w:r>
          </w:p>
        </w:tc>
        <w:tc>
          <w:tcPr>
            <w:tcW w:w="2825" w:type="pct"/>
            <w:vMerge w:val="continue"/>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674" w:type="pct"/>
            <w:vMerge w:val="continue"/>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p>
        </w:tc>
        <w:tc>
          <w:tcPr>
            <w:tcW w:w="1500" w:type="pct"/>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cs="Times New Roman"/>
                <w:color w:val="auto"/>
                <w:sz w:val="21"/>
                <w:szCs w:val="21"/>
                <w:lang w:eastAsia="zh-CN"/>
              </w:rPr>
            </w:pPr>
            <w:r>
              <w:rPr>
                <w:rFonts w:hint="eastAsia" w:ascii="Times New Roman" w:hAnsi="Times New Roman" w:cs="Times New Roman" w:eastAsiaTheme="minorEastAsia"/>
                <w:b w:val="0"/>
                <w:bCs w:val="0"/>
                <w:sz w:val="21"/>
                <w:szCs w:val="21"/>
                <w:lang w:eastAsia="zh-CN"/>
              </w:rPr>
              <w:t>甲苯</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0.6</w:t>
            </w:r>
            <w:r>
              <w:rPr>
                <w:rFonts w:hint="default"/>
              </w:rPr>
              <w:t>mg/m</w:t>
            </w:r>
            <w:r>
              <w:rPr>
                <w:rFonts w:hint="default"/>
                <w:vertAlign w:val="superscript"/>
              </w:rPr>
              <w:t>3</w:t>
            </w:r>
          </w:p>
        </w:tc>
        <w:tc>
          <w:tcPr>
            <w:tcW w:w="2825" w:type="pct"/>
            <w:vMerge w:val="continue"/>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674" w:type="pct"/>
            <w:vMerge w:val="continue"/>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p>
        </w:tc>
        <w:tc>
          <w:tcPr>
            <w:tcW w:w="1500"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color w:val="auto"/>
                <w:sz w:val="21"/>
                <w:szCs w:val="21"/>
                <w:lang w:eastAsia="zh-CN"/>
              </w:rPr>
            </w:pPr>
            <w:r>
              <w:rPr>
                <w:rFonts w:hint="eastAsia" w:ascii="Times New Roman" w:hAnsi="Times New Roman" w:cs="Times New Roman" w:eastAsiaTheme="minorEastAsia"/>
                <w:b w:val="0"/>
                <w:bCs w:val="0"/>
                <w:sz w:val="21"/>
                <w:szCs w:val="21"/>
                <w:lang w:val="en-US" w:eastAsia="zh-CN"/>
              </w:rPr>
              <w:t>二甲苯</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0.2</w:t>
            </w:r>
            <w:r>
              <w:rPr>
                <w:rFonts w:hint="default"/>
              </w:rPr>
              <w:t>mg/m</w:t>
            </w:r>
            <w:r>
              <w:rPr>
                <w:rFonts w:hint="default"/>
                <w:vertAlign w:val="superscript"/>
              </w:rPr>
              <w:t>3</w:t>
            </w:r>
          </w:p>
        </w:tc>
        <w:tc>
          <w:tcPr>
            <w:tcW w:w="2825" w:type="pct"/>
            <w:vMerge w:val="continue"/>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59" w:hRule="atLeast"/>
          <w:jc w:val="center"/>
        </w:trPr>
        <w:tc>
          <w:tcPr>
            <w:tcW w:w="674" w:type="pct"/>
            <w:vMerge w:val="continue"/>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p>
        </w:tc>
        <w:tc>
          <w:tcPr>
            <w:tcW w:w="1500"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颗粒物：</w:t>
            </w:r>
            <w:r>
              <w:rPr>
                <w:rFonts w:hint="default"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lang w:eastAsia="zh-CN"/>
              </w:rPr>
              <w:t>.0mg/m</w:t>
            </w:r>
            <w:r>
              <w:rPr>
                <w:rFonts w:hint="default" w:ascii="Times New Roman" w:hAnsi="Times New Roman" w:cs="Times New Roman"/>
                <w:color w:val="auto"/>
                <w:sz w:val="21"/>
                <w:szCs w:val="21"/>
                <w:vertAlign w:val="superscript"/>
                <w:lang w:eastAsia="zh-CN"/>
              </w:rPr>
              <w:t>3</w:t>
            </w:r>
          </w:p>
        </w:tc>
        <w:tc>
          <w:tcPr>
            <w:tcW w:w="2825"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《大气污染物综合排放标准》（GB 16297-1996）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表2中颗粒物无组织排放浓度监控限值要求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499" w:hRule="atLeast"/>
          <w:jc w:val="center"/>
        </w:trPr>
        <w:tc>
          <w:tcPr>
            <w:tcW w:w="674" w:type="pct"/>
            <w:tcBorders>
              <w:tl2br w:val="nil"/>
              <w:tr2bl w:val="nil"/>
            </w:tcBorders>
            <w:tcMar>
              <w:top w:w="0" w:type="dxa"/>
              <w:left w:w="0" w:type="dxa"/>
              <w:bottom w:w="0" w:type="dxa"/>
              <w:right w:w="0" w:type="dxa"/>
            </w:tcMar>
            <w:vAlign w:val="center"/>
          </w:tcPr>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车间</w:t>
            </w:r>
          </w:p>
          <w:p>
            <w:pPr>
              <w:keepNext w:val="0"/>
              <w:keepLines w:val="0"/>
              <w:suppressLineNumbers w:val="0"/>
              <w:tabs>
                <w:tab w:val="left" w:pos="6405"/>
              </w:tabs>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无组织废气</w:t>
            </w:r>
          </w:p>
        </w:tc>
        <w:tc>
          <w:tcPr>
            <w:tcW w:w="1500"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非甲烷总烃：</w:t>
            </w:r>
            <w:r>
              <w:rPr>
                <w:rFonts w:hint="default" w:ascii="Times New Roman" w:hAnsi="Times New Roman" w:cs="Times New Roman"/>
                <w:color w:val="auto"/>
                <w:sz w:val="21"/>
                <w:szCs w:val="21"/>
                <w:lang w:val="en-US" w:eastAsia="zh-CN"/>
              </w:rPr>
              <w:t>4</w:t>
            </w:r>
            <w:r>
              <w:rPr>
                <w:rFonts w:hint="default" w:ascii="Times New Roman" w:hAnsi="Times New Roman" w:cs="Times New Roman"/>
                <w:color w:val="auto"/>
                <w:sz w:val="21"/>
                <w:szCs w:val="21"/>
                <w:lang w:eastAsia="zh-CN"/>
              </w:rPr>
              <w:t>.0mg/m</w:t>
            </w:r>
            <w:r>
              <w:rPr>
                <w:rFonts w:hint="default" w:ascii="Times New Roman" w:hAnsi="Times New Roman" w:cs="Times New Roman"/>
                <w:color w:val="auto"/>
                <w:sz w:val="21"/>
                <w:szCs w:val="21"/>
                <w:vertAlign w:val="superscript"/>
                <w:lang w:eastAsia="zh-CN"/>
              </w:rPr>
              <w:t>3</w:t>
            </w:r>
          </w:p>
        </w:tc>
        <w:tc>
          <w:tcPr>
            <w:tcW w:w="2825" w:type="pc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《工业企业挥发性有机物排放控制标准》（DB13/2322-2016）表3生产车间或生产设备边界大气污染物浓度限值</w:t>
            </w:r>
            <w:r>
              <w:rPr>
                <w:rFonts w:hint="eastAsia" w:ascii="Times New Roman" w:hAnsi="Times New Roman" w:cs="Times New Roman"/>
                <w:sz w:val="21"/>
                <w:szCs w:val="21"/>
                <w:lang w:val="en-US" w:eastAsia="zh-CN"/>
              </w:rPr>
              <w:t>及</w:t>
            </w:r>
            <w:r>
              <w:rPr>
                <w:rFonts w:hint="default" w:ascii="Times New Roman" w:hAnsi="Times New Roman" w:cs="Times New Roman"/>
                <w:sz w:val="21"/>
                <w:szCs w:val="21"/>
                <w:lang w:val="en-US" w:eastAsia="zh-CN"/>
              </w:rPr>
              <w:t>《挥发性有机物无组织排放控制标准》（GB 37822-2019）表A.1厂区内VOCs无组织特别排放限值</w:t>
            </w:r>
          </w:p>
        </w:tc>
      </w:tr>
    </w:tbl>
    <w:p>
      <w:pPr>
        <w:pStyle w:val="5"/>
        <w:rPr>
          <w:rFonts w:hint="default" w:ascii="Times New Roman" w:hAnsi="Times New Roman" w:eastAsia="宋体" w:cs="Times New Roman"/>
        </w:rPr>
      </w:pPr>
      <w:bookmarkStart w:id="223" w:name="_Toc27196"/>
      <w:bookmarkStart w:id="224" w:name="_Toc20210"/>
      <w:bookmarkStart w:id="225" w:name="_Toc12396"/>
      <w:bookmarkStart w:id="226" w:name="_Toc496979037"/>
      <w:bookmarkStart w:id="227" w:name="_Toc497001476"/>
      <w:bookmarkStart w:id="228" w:name="_Toc20091"/>
      <w:r>
        <w:rPr>
          <w:rFonts w:hint="default" w:ascii="Times New Roman" w:hAnsi="Times New Roman" w:eastAsia="宋体" w:cs="Times New Roman"/>
        </w:rPr>
        <w:t>5.1.</w:t>
      </w:r>
      <w:r>
        <w:rPr>
          <w:rFonts w:hint="eastAsia" w:ascii="Times New Roman" w:hAnsi="Times New Roman" w:cs="Times New Roman"/>
          <w:lang w:val="en-US" w:eastAsia="zh-CN"/>
        </w:rPr>
        <w:t>2</w:t>
      </w:r>
      <w:r>
        <w:rPr>
          <w:rFonts w:hint="default" w:ascii="Times New Roman" w:hAnsi="Times New Roman" w:eastAsia="宋体" w:cs="Times New Roman"/>
        </w:rPr>
        <w:t>噪声</w:t>
      </w:r>
      <w:bookmarkEnd w:id="223"/>
      <w:bookmarkEnd w:id="224"/>
      <w:bookmarkEnd w:id="225"/>
      <w:bookmarkEnd w:id="226"/>
      <w:bookmarkEnd w:id="227"/>
      <w:bookmarkEnd w:id="228"/>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执行《工业企业厂界环境噪声排放标准》（GB12348-2008）</w:t>
      </w: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lang w:val="en-US" w:eastAsia="zh-CN"/>
        </w:rPr>
        <w:t>类</w:t>
      </w:r>
      <w:r>
        <w:rPr>
          <w:rFonts w:hint="eastAsia" w:ascii="Times New Roman" w:hAnsi="Times New Roman" w:cs="Times New Roman"/>
          <w:sz w:val="24"/>
          <w:szCs w:val="24"/>
          <w:lang w:val="en-US" w:eastAsia="zh-CN"/>
        </w:rPr>
        <w:t>、4类</w:t>
      </w:r>
      <w:r>
        <w:rPr>
          <w:rFonts w:hint="default" w:ascii="Times New Roman" w:hAnsi="Times New Roman" w:eastAsia="宋体" w:cs="Times New Roman"/>
          <w:sz w:val="24"/>
          <w:szCs w:val="24"/>
        </w:rPr>
        <w:t>标准要求。标准值见表5-</w:t>
      </w:r>
      <w:r>
        <w:rPr>
          <w:rFonts w:hint="eastAsia" w:ascii="Times New Roman" w:hAnsi="Times New Roman" w:cs="Times New Roman"/>
          <w:sz w:val="24"/>
          <w:szCs w:val="24"/>
          <w:lang w:val="en-US" w:eastAsia="zh-CN"/>
        </w:rPr>
        <w:t>2</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w:t>
      </w:r>
      <w:r>
        <w:rPr>
          <w:rFonts w:hint="eastAsia" w:ascii="Times New Roman" w:hAnsi="Times New Roman" w:cs="Times New Roman"/>
          <w:b/>
          <w:sz w:val="24"/>
          <w:szCs w:val="24"/>
          <w:lang w:val="en-US" w:eastAsia="zh-CN"/>
        </w:rPr>
        <w:t>2</w:t>
      </w:r>
      <w:r>
        <w:rPr>
          <w:rFonts w:hint="default" w:ascii="Times New Roman" w:hAnsi="Times New Roman" w:eastAsia="宋体" w:cs="Times New Roman"/>
          <w:b/>
          <w:sz w:val="24"/>
          <w:szCs w:val="24"/>
        </w:rPr>
        <w:t xml:space="preserve">  厂界噪声排放标准</w:t>
      </w:r>
    </w:p>
    <w:tbl>
      <w:tblPr>
        <w:tblStyle w:val="22"/>
        <w:tblW w:w="497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93"/>
        <w:gridCol w:w="1974"/>
        <w:gridCol w:w="1554"/>
        <w:gridCol w:w="1822"/>
        <w:gridCol w:w="16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81" w:type="pct"/>
            <w:vAlign w:val="center"/>
          </w:tcPr>
          <w:p>
            <w:pPr>
              <w:pStyle w:val="18"/>
              <w:keepNext w:val="0"/>
              <w:keepLines w:val="0"/>
              <w:suppressLineNumbers w:val="0"/>
              <w:spacing w:before="0" w:beforeAutospacing="0" w:after="0" w:afterAutospacing="0" w:line="300" w:lineRule="exact"/>
              <w:ind w:left="0" w:right="0"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1165" w:type="pct"/>
            <w:vAlign w:val="center"/>
          </w:tcPr>
          <w:p>
            <w:pPr>
              <w:pStyle w:val="18"/>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917" w:type="pct"/>
            <w:vAlign w:val="center"/>
          </w:tcPr>
          <w:p>
            <w:pPr>
              <w:pStyle w:val="18"/>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075" w:type="pct"/>
            <w:vAlign w:val="center"/>
          </w:tcPr>
          <w:p>
            <w:pPr>
              <w:pStyle w:val="18"/>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960" w:type="pct"/>
            <w:vAlign w:val="center"/>
          </w:tcPr>
          <w:p>
            <w:pPr>
              <w:pStyle w:val="18"/>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81" w:type="pct"/>
            <w:vMerge w:val="restart"/>
            <w:vAlign w:val="center"/>
          </w:tcPr>
          <w:p>
            <w:pPr>
              <w:keepNext w:val="0"/>
              <w:keepLines w:val="0"/>
              <w:suppressLineNumbers w:val="0"/>
              <w:spacing w:before="0" w:beforeAutospacing="0" w:after="0" w:afterAutospacing="0" w:line="300" w:lineRule="exact"/>
              <w:ind w:left="0" w:right="0"/>
              <w:jc w:val="center"/>
              <w:rPr>
                <w:rFonts w:hint="eastAsia" w:ascii="Times New Roman" w:hAnsi="Times New Roman" w:cs="Times New Roman"/>
                <w:bCs/>
                <w:szCs w:val="21"/>
                <w:lang w:eastAsia="zh-CN"/>
              </w:rPr>
            </w:pPr>
            <w:r>
              <w:rPr>
                <w:rFonts w:hint="eastAsia" w:ascii="Times New Roman" w:hAnsi="Times New Roman" w:cs="Times New Roman"/>
                <w:bCs/>
                <w:szCs w:val="21"/>
                <w:lang w:eastAsia="zh-CN"/>
              </w:rPr>
              <w:t>东、北、南</w:t>
            </w:r>
          </w:p>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szCs w:val="21"/>
              </w:rPr>
            </w:pPr>
            <w:r>
              <w:rPr>
                <w:rFonts w:hint="default" w:ascii="Times New Roman" w:hAnsi="Times New Roman" w:eastAsia="宋体" w:cs="Times New Roman"/>
                <w:bCs/>
                <w:szCs w:val="21"/>
              </w:rPr>
              <w:t>厂界</w:t>
            </w:r>
          </w:p>
        </w:tc>
        <w:tc>
          <w:tcPr>
            <w:tcW w:w="1165" w:type="pct"/>
            <w:vMerge w:val="restar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szCs w:val="21"/>
                <w:lang w:eastAsia="zh-CN"/>
              </w:rPr>
            </w:pPr>
            <w:r>
              <w:rPr>
                <w:rFonts w:hint="eastAsia" w:ascii="Times New Roman" w:hAnsi="Times New Roman" w:cs="Times New Roman"/>
                <w:szCs w:val="21"/>
                <w:lang w:val="en-US" w:eastAsia="zh-CN"/>
              </w:rPr>
              <w:t>2</w:t>
            </w:r>
            <w:r>
              <w:rPr>
                <w:rFonts w:hint="default" w:ascii="Times New Roman" w:hAnsi="Times New Roman" w:eastAsia="宋体" w:cs="Times New Roman"/>
                <w:szCs w:val="21"/>
              </w:rPr>
              <w:t>类</w:t>
            </w:r>
          </w:p>
        </w:tc>
        <w:tc>
          <w:tcPr>
            <w:tcW w:w="917"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075"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szCs w:val="21"/>
                <w:lang w:val="en-US" w:eastAsia="zh-CN"/>
              </w:rPr>
            </w:pPr>
            <w:r>
              <w:rPr>
                <w:rFonts w:hint="eastAsia" w:ascii="Times New Roman" w:hAnsi="Times New Roman" w:cs="Times New Roman"/>
                <w:szCs w:val="21"/>
                <w:lang w:val="en-US" w:eastAsia="zh-CN"/>
              </w:rPr>
              <w:t>60</w:t>
            </w:r>
          </w:p>
        </w:tc>
        <w:tc>
          <w:tcPr>
            <w:tcW w:w="960"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81" w:type="pct"/>
            <w:vMerge w:val="continue"/>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Cs/>
                <w:szCs w:val="21"/>
              </w:rPr>
            </w:pPr>
          </w:p>
        </w:tc>
        <w:tc>
          <w:tcPr>
            <w:tcW w:w="1165" w:type="pct"/>
            <w:vMerge w:val="continue"/>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szCs w:val="21"/>
                <w:lang w:val="en-US" w:eastAsia="zh-CN"/>
              </w:rPr>
            </w:pPr>
          </w:p>
        </w:tc>
        <w:tc>
          <w:tcPr>
            <w:tcW w:w="917" w:type="pct"/>
            <w:vAlign w:val="center"/>
          </w:tcPr>
          <w:p>
            <w:pPr>
              <w:keepNext w:val="0"/>
              <w:keepLines w:val="0"/>
              <w:suppressLineNumbers w:val="0"/>
              <w:spacing w:before="0" w:beforeAutospacing="0" w:after="0" w:afterAutospacing="0" w:line="300" w:lineRule="exact"/>
              <w:ind w:left="0" w:right="0"/>
              <w:jc w:val="center"/>
              <w:rPr>
                <w:rFonts w:hint="eastAsia" w:ascii="Times New Roman" w:hAnsi="Times New Roman" w:eastAsia="宋体" w:cs="Times New Roman"/>
                <w:szCs w:val="21"/>
                <w:lang w:eastAsia="zh-CN"/>
              </w:rPr>
            </w:pPr>
            <w:r>
              <w:rPr>
                <w:rFonts w:hint="eastAsia" w:ascii="Times New Roman" w:hAnsi="Times New Roman" w:cs="Times New Roman"/>
                <w:szCs w:val="21"/>
                <w:lang w:eastAsia="zh-CN"/>
              </w:rPr>
              <w:t>夜间</w:t>
            </w:r>
          </w:p>
        </w:tc>
        <w:tc>
          <w:tcPr>
            <w:tcW w:w="1075"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szCs w:val="21"/>
                <w:lang w:val="en-US" w:eastAsia="zh-CN"/>
              </w:rPr>
            </w:pPr>
            <w:r>
              <w:rPr>
                <w:rFonts w:hint="eastAsia" w:ascii="Times New Roman" w:hAnsi="Times New Roman" w:cs="Times New Roman"/>
                <w:szCs w:val="21"/>
                <w:lang w:val="en-US" w:eastAsia="zh-CN"/>
              </w:rPr>
              <w:t>50</w:t>
            </w:r>
          </w:p>
        </w:tc>
        <w:tc>
          <w:tcPr>
            <w:tcW w:w="960"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Cs/>
                <w:szCs w:val="21"/>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81" w:type="pct"/>
            <w:vMerge w:val="restar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Cs/>
                <w:szCs w:val="21"/>
              </w:rPr>
            </w:pPr>
            <w:r>
              <w:rPr>
                <w:rFonts w:hint="eastAsia" w:ascii="Times New Roman" w:hAnsi="Times New Roman" w:cs="Times New Roman"/>
                <w:bCs/>
                <w:szCs w:val="21"/>
                <w:lang w:eastAsia="zh-CN"/>
              </w:rPr>
              <w:t>西</w:t>
            </w:r>
            <w:r>
              <w:rPr>
                <w:rFonts w:hint="default" w:ascii="Times New Roman" w:hAnsi="Times New Roman" w:eastAsia="宋体" w:cs="Times New Roman"/>
                <w:bCs/>
                <w:szCs w:val="21"/>
              </w:rPr>
              <w:t>厂界</w:t>
            </w:r>
          </w:p>
        </w:tc>
        <w:tc>
          <w:tcPr>
            <w:tcW w:w="1165" w:type="pct"/>
            <w:vMerge w:val="restar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szCs w:val="21"/>
                <w:lang w:val="en-US" w:eastAsia="zh-CN"/>
              </w:rPr>
            </w:pPr>
            <w:r>
              <w:rPr>
                <w:rFonts w:hint="eastAsia" w:ascii="Times New Roman" w:hAnsi="Times New Roman" w:cs="Times New Roman"/>
                <w:szCs w:val="21"/>
                <w:lang w:val="en-US" w:eastAsia="zh-CN"/>
              </w:rPr>
              <w:t>4类</w:t>
            </w:r>
          </w:p>
        </w:tc>
        <w:tc>
          <w:tcPr>
            <w:tcW w:w="917" w:type="pct"/>
            <w:vAlign w:val="center"/>
          </w:tcPr>
          <w:p>
            <w:pPr>
              <w:keepNext w:val="0"/>
              <w:keepLines w:val="0"/>
              <w:suppressLineNumbers w:val="0"/>
              <w:spacing w:before="0" w:beforeAutospacing="0" w:after="0" w:afterAutospacing="0" w:line="300" w:lineRule="exact"/>
              <w:ind w:left="0" w:right="0"/>
              <w:jc w:val="center"/>
              <w:rPr>
                <w:rFonts w:hint="eastAsia" w:ascii="Times New Roman" w:hAnsi="Times New Roman" w:eastAsia="宋体" w:cs="Times New Roman"/>
                <w:kern w:val="2"/>
                <w:sz w:val="21"/>
                <w:szCs w:val="21"/>
                <w:lang w:val="en-US" w:eastAsia="zh-CN" w:bidi="ar-SA"/>
              </w:rPr>
            </w:pPr>
            <w:r>
              <w:rPr>
                <w:rFonts w:hint="default" w:ascii="Times New Roman" w:hAnsi="Times New Roman" w:eastAsia="宋体" w:cs="Times New Roman"/>
                <w:szCs w:val="21"/>
              </w:rPr>
              <w:t>昼间</w:t>
            </w:r>
          </w:p>
        </w:tc>
        <w:tc>
          <w:tcPr>
            <w:tcW w:w="1075"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cs="Times New Roman"/>
                <w:szCs w:val="21"/>
                <w:lang w:val="en-US" w:eastAsia="zh-CN"/>
              </w:rPr>
              <w:t>70</w:t>
            </w:r>
          </w:p>
        </w:tc>
        <w:tc>
          <w:tcPr>
            <w:tcW w:w="960"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81" w:type="pct"/>
            <w:vMerge w:val="continue"/>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Cs/>
                <w:szCs w:val="21"/>
              </w:rPr>
            </w:pPr>
          </w:p>
        </w:tc>
        <w:tc>
          <w:tcPr>
            <w:tcW w:w="1165" w:type="pct"/>
            <w:vMerge w:val="continue"/>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szCs w:val="21"/>
                <w:lang w:val="en-US" w:eastAsia="zh-CN"/>
              </w:rPr>
            </w:pPr>
          </w:p>
        </w:tc>
        <w:tc>
          <w:tcPr>
            <w:tcW w:w="917" w:type="pct"/>
            <w:vAlign w:val="center"/>
          </w:tcPr>
          <w:p>
            <w:pPr>
              <w:keepNext w:val="0"/>
              <w:keepLines w:val="0"/>
              <w:suppressLineNumbers w:val="0"/>
              <w:spacing w:before="0" w:beforeAutospacing="0" w:after="0" w:afterAutospacing="0" w:line="300" w:lineRule="exact"/>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cs="Times New Roman"/>
                <w:szCs w:val="21"/>
                <w:lang w:eastAsia="zh-CN"/>
              </w:rPr>
              <w:t>夜间</w:t>
            </w:r>
          </w:p>
        </w:tc>
        <w:tc>
          <w:tcPr>
            <w:tcW w:w="1075" w:type="pct"/>
            <w:vAlign w:val="center"/>
          </w:tcPr>
          <w:p>
            <w:pPr>
              <w:keepNext w:val="0"/>
              <w:keepLines w:val="0"/>
              <w:suppressLineNumbers w:val="0"/>
              <w:spacing w:before="0" w:beforeAutospacing="0" w:after="0" w:afterAutospacing="0" w:line="300" w:lineRule="exact"/>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cs="Times New Roman"/>
                <w:szCs w:val="21"/>
                <w:lang w:val="en-US" w:eastAsia="zh-CN"/>
              </w:rPr>
              <w:t>55</w:t>
            </w:r>
          </w:p>
        </w:tc>
        <w:tc>
          <w:tcPr>
            <w:tcW w:w="960" w:type="pct"/>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eastAsia="宋体" w:cs="Times New Roman"/>
                <w:bCs/>
                <w:kern w:val="2"/>
                <w:sz w:val="21"/>
                <w:szCs w:val="21"/>
                <w:lang w:val="en-US" w:eastAsia="zh-CN" w:bidi="ar-SA"/>
              </w:rPr>
            </w:pPr>
            <w:r>
              <w:rPr>
                <w:rFonts w:hint="default" w:ascii="Times New Roman" w:hAnsi="Times New Roman" w:eastAsia="宋体" w:cs="Times New Roman"/>
                <w:bCs/>
                <w:szCs w:val="21"/>
              </w:rPr>
              <w:t>dB(A)</w:t>
            </w:r>
          </w:p>
        </w:tc>
      </w:tr>
    </w:tbl>
    <w:p>
      <w:pPr>
        <w:pStyle w:val="4"/>
        <w:rPr>
          <w:rFonts w:hint="default" w:ascii="Times New Roman" w:hAnsi="Times New Roman" w:eastAsia="宋体" w:cs="Times New Roman"/>
        </w:rPr>
      </w:pPr>
      <w:bookmarkStart w:id="229" w:name="_Toc14398"/>
      <w:bookmarkStart w:id="230" w:name="_Toc18965"/>
      <w:bookmarkStart w:id="231" w:name="_Toc16968"/>
      <w:bookmarkStart w:id="232" w:name="_Toc497001478"/>
      <w:bookmarkStart w:id="233" w:name="_Toc26833"/>
      <w:r>
        <w:rPr>
          <w:rFonts w:hint="default" w:ascii="Times New Roman" w:hAnsi="Times New Roman" w:eastAsia="宋体" w:cs="Times New Roman"/>
        </w:rPr>
        <w:t>5.2 总量控制指标</w:t>
      </w:r>
      <w:bookmarkEnd w:id="229"/>
      <w:bookmarkEnd w:id="230"/>
      <w:bookmarkEnd w:id="231"/>
      <w:bookmarkEnd w:id="232"/>
    </w:p>
    <w:p>
      <w:pPr>
        <w:spacing w:line="480" w:lineRule="atLeast"/>
        <w:ind w:firstLine="480" w:firstLineChars="200"/>
        <w:rPr>
          <w:rFonts w:hint="default" w:ascii="Times New Roman" w:hAnsi="Times New Roman" w:eastAsia="宋体" w:cs="Times New Roman"/>
          <w:sz w:val="24"/>
          <w:lang w:eastAsia="zh-CN"/>
        </w:rPr>
      </w:pPr>
      <w:r>
        <w:rPr>
          <w:rFonts w:hint="default" w:ascii="Times New Roman" w:hAnsi="Times New Roman" w:eastAsia="宋体" w:cs="Times New Roman"/>
          <w:sz w:val="24"/>
          <w:lang w:eastAsia="zh-CN"/>
        </w:rPr>
        <w:t>根据《“十二五”主要污染物总量控制规划编制指南》的通知（环办[2010] 97号），“十二五”期间国家对COD、氨氮、氮氧化物、SO</w:t>
      </w:r>
      <w:r>
        <w:rPr>
          <w:rFonts w:hint="default" w:ascii="Times New Roman" w:hAnsi="Times New Roman" w:eastAsia="宋体" w:cs="Times New Roman"/>
          <w:sz w:val="24"/>
          <w:vertAlign w:val="subscript"/>
          <w:lang w:eastAsia="zh-CN"/>
        </w:rPr>
        <w:t>2</w:t>
      </w:r>
      <w:r>
        <w:rPr>
          <w:rFonts w:hint="default" w:ascii="Times New Roman" w:hAnsi="Times New Roman" w:eastAsia="宋体" w:cs="Times New Roman"/>
          <w:sz w:val="24"/>
          <w:lang w:eastAsia="zh-CN"/>
        </w:rPr>
        <w:t>四种主要污染物实施国家总量控制。</w:t>
      </w:r>
    </w:p>
    <w:p>
      <w:pPr>
        <w:spacing w:line="480" w:lineRule="atLeast"/>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sz w:val="24"/>
          <w:lang w:eastAsia="zh-CN"/>
        </w:rPr>
        <w:t>污染物总量控制指标的值为：</w:t>
      </w:r>
      <w:r>
        <w:rPr>
          <w:rFonts w:hint="default" w:ascii="Times New Roman" w:hAnsi="Times New Roman" w:eastAsia="宋体" w:cs="Times New Roman"/>
          <w:color w:val="auto"/>
          <w:sz w:val="24"/>
          <w:lang w:eastAsia="zh-CN"/>
        </w:rPr>
        <w:t>COD：</w:t>
      </w:r>
      <w:r>
        <w:rPr>
          <w:rFonts w:hint="default" w:ascii="Times New Roman" w:hAnsi="Times New Roman" w:cs="Times New Roman"/>
          <w:color w:val="auto"/>
          <w:sz w:val="24"/>
          <w:lang w:val="en-US" w:eastAsia="zh-CN"/>
        </w:rPr>
        <w:t>0</w:t>
      </w:r>
      <w:r>
        <w:rPr>
          <w:rFonts w:hint="default" w:ascii="Times New Roman" w:hAnsi="Times New Roman" w:eastAsia="宋体" w:cs="Times New Roman"/>
          <w:color w:val="auto"/>
          <w:sz w:val="24"/>
          <w:lang w:eastAsia="zh-CN"/>
        </w:rPr>
        <w:t>t/a，氨氮：</w:t>
      </w:r>
      <w:r>
        <w:rPr>
          <w:rFonts w:hint="default" w:ascii="Times New Roman" w:hAnsi="Times New Roman" w:cs="Times New Roman"/>
          <w:color w:val="auto"/>
          <w:sz w:val="24"/>
          <w:lang w:val="en-US" w:eastAsia="zh-CN"/>
        </w:rPr>
        <w:t>0</w:t>
      </w:r>
      <w:r>
        <w:rPr>
          <w:rFonts w:hint="default" w:ascii="Times New Roman" w:hAnsi="Times New Roman" w:eastAsia="宋体" w:cs="Times New Roman"/>
          <w:color w:val="auto"/>
          <w:sz w:val="24"/>
          <w:lang w:eastAsia="zh-CN"/>
        </w:rPr>
        <w:t>t/a</w:t>
      </w:r>
      <w:r>
        <w:rPr>
          <w:rFonts w:hint="default" w:ascii="Times New Roman" w:hAnsi="Times New Roman" w:eastAsia="宋体" w:cs="Times New Roman"/>
          <w:color w:val="auto"/>
          <w:sz w:val="24"/>
          <w:lang w:val="en-US" w:eastAsia="zh-CN"/>
        </w:rPr>
        <w:t>，二氧化硫：</w:t>
      </w:r>
      <w:r>
        <w:rPr>
          <w:rFonts w:hint="eastAsia" w:ascii="Times New Roman" w:hAnsi="Times New Roman" w:cs="Times New Roman"/>
          <w:color w:val="auto"/>
          <w:sz w:val="24"/>
          <w:lang w:val="en-US" w:eastAsia="zh-CN"/>
        </w:rPr>
        <w:t>0</w:t>
      </w:r>
      <w:r>
        <w:rPr>
          <w:rFonts w:hint="default" w:ascii="Times New Roman" w:hAnsi="Times New Roman" w:eastAsia="宋体" w:cs="Times New Roman"/>
          <w:color w:val="auto"/>
          <w:sz w:val="24"/>
          <w:lang w:val="en-US" w:eastAsia="zh-CN"/>
        </w:rPr>
        <w:t>t/a</w:t>
      </w:r>
      <w:r>
        <w:rPr>
          <w:rFonts w:hint="default" w:ascii="Times New Roman" w:hAnsi="Times New Roman" w:cs="Times New Roman"/>
          <w:color w:val="auto"/>
          <w:sz w:val="24"/>
          <w:lang w:val="en-US" w:eastAsia="zh-CN"/>
        </w:rPr>
        <w:t>，</w:t>
      </w:r>
      <w:r>
        <w:rPr>
          <w:rFonts w:hint="default" w:ascii="Times New Roman" w:hAnsi="Times New Roman" w:eastAsia="宋体" w:cs="Times New Roman"/>
          <w:color w:val="auto"/>
          <w:sz w:val="24"/>
          <w:lang w:val="en-US" w:eastAsia="zh-CN"/>
        </w:rPr>
        <w:t>氮氧化物</w:t>
      </w:r>
      <w:r>
        <w:rPr>
          <w:rFonts w:hint="default" w:ascii="Times New Roman" w:hAnsi="Times New Roman" w:cs="Times New Roman"/>
          <w:color w:val="auto"/>
          <w:sz w:val="24"/>
          <w:vertAlign w:val="baseline"/>
          <w:lang w:val="en-US" w:eastAsia="zh-CN"/>
        </w:rPr>
        <w:t>：</w:t>
      </w:r>
      <w:r>
        <w:rPr>
          <w:rFonts w:hint="eastAsia" w:ascii="Times New Roman" w:hAnsi="Times New Roman" w:cs="Times New Roman"/>
          <w:color w:val="auto"/>
          <w:sz w:val="24"/>
          <w:vertAlign w:val="baseline"/>
          <w:lang w:val="en-US" w:eastAsia="zh-CN"/>
        </w:rPr>
        <w:t>0</w:t>
      </w:r>
      <w:r>
        <w:rPr>
          <w:rFonts w:hint="default" w:ascii="Times New Roman" w:hAnsi="Times New Roman" w:eastAsia="宋体" w:cs="Times New Roman"/>
          <w:color w:val="auto"/>
          <w:sz w:val="24"/>
          <w:vertAlign w:val="baseline"/>
          <w:lang w:val="en-US" w:eastAsia="zh-CN"/>
        </w:rPr>
        <w:t>t/a</w:t>
      </w:r>
      <w:r>
        <w:rPr>
          <w:rFonts w:hint="default" w:ascii="Times New Roman" w:hAnsi="Times New Roman" w:eastAsia="宋体" w:cs="Times New Roman"/>
          <w:color w:val="auto"/>
          <w:sz w:val="24"/>
          <w:lang w:eastAsia="zh-CN"/>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34" w:name="_Toc8964"/>
      <w:bookmarkStart w:id="235" w:name="_Toc15883"/>
      <w:bookmarkStart w:id="236" w:name="_Toc12999"/>
      <w:r>
        <w:rPr>
          <w:rFonts w:hint="default" w:ascii="Times New Roman" w:hAnsi="Times New Roman" w:eastAsia="宋体" w:cs="Times New Roman"/>
        </w:rPr>
        <w:t>6 质量保障措施和检测分析方法</w:t>
      </w:r>
      <w:bookmarkEnd w:id="233"/>
      <w:bookmarkEnd w:id="234"/>
      <w:bookmarkEnd w:id="235"/>
      <w:bookmarkEnd w:id="236"/>
    </w:p>
    <w:p>
      <w:pPr>
        <w:spacing w:line="440" w:lineRule="atLeast"/>
        <w:ind w:firstLine="480" w:firstLineChars="200"/>
        <w:rPr>
          <w:rFonts w:hint="default" w:ascii="Times New Roman" w:hAnsi="Times New Roman" w:eastAsia="宋体" w:cs="Times New Roman"/>
          <w:color w:val="000000"/>
          <w:sz w:val="24"/>
          <w:szCs w:val="24"/>
        </w:rPr>
      </w:pPr>
      <w:r>
        <w:rPr>
          <w:rFonts w:hint="default" w:ascii="Times New Roman" w:hAnsi="Times New Roman" w:eastAsia="宋体" w:cs="Times New Roman"/>
          <w:sz w:val="24"/>
          <w:szCs w:val="24"/>
        </w:rPr>
        <w:t>沧州燕赵环境监测技术服务有限公司</w:t>
      </w:r>
      <w:r>
        <w:rPr>
          <w:rFonts w:hint="default" w:ascii="Times New Roman" w:hAnsi="Times New Roman" w:eastAsia="宋体" w:cs="Times New Roman"/>
          <w:color w:val="000000"/>
          <w:sz w:val="24"/>
          <w:szCs w:val="24"/>
        </w:rPr>
        <w:t>于</w:t>
      </w:r>
      <w:r>
        <w:rPr>
          <w:rFonts w:hint="eastAsia" w:ascii="Times New Roman" w:hAnsi="Times New Roman" w:cs="Times New Roman"/>
          <w:color w:val="000000"/>
          <w:sz w:val="24"/>
          <w:szCs w:val="24"/>
          <w:lang w:val="en-US" w:eastAsia="zh-CN"/>
        </w:rPr>
        <w:t>2020</w:t>
      </w:r>
      <w:r>
        <w:rPr>
          <w:rFonts w:hint="default" w:ascii="Times New Roman" w:hAnsi="Times New Roman" w:eastAsia="宋体" w:cs="Times New Roman"/>
          <w:color w:val="000000"/>
          <w:sz w:val="24"/>
          <w:szCs w:val="24"/>
        </w:rPr>
        <w:t>年</w:t>
      </w:r>
      <w:r>
        <w:rPr>
          <w:rFonts w:hint="eastAsia" w:ascii="Times New Roman" w:hAnsi="Times New Roman" w:cs="Times New Roman"/>
          <w:color w:val="000000"/>
          <w:sz w:val="24"/>
          <w:szCs w:val="24"/>
          <w:lang w:val="en-US" w:eastAsia="zh-CN"/>
        </w:rPr>
        <w:t>08</w:t>
      </w:r>
      <w:r>
        <w:rPr>
          <w:rFonts w:hint="default" w:ascii="Times New Roman" w:hAnsi="Times New Roman" w:eastAsia="宋体" w:cs="Times New Roman"/>
          <w:color w:val="000000"/>
          <w:sz w:val="24"/>
          <w:szCs w:val="24"/>
        </w:rPr>
        <w:t>月</w:t>
      </w:r>
      <w:r>
        <w:rPr>
          <w:rFonts w:hint="eastAsia" w:ascii="Times New Roman" w:hAnsi="Times New Roman" w:cs="Times New Roman"/>
          <w:color w:val="000000"/>
          <w:sz w:val="24"/>
          <w:szCs w:val="24"/>
          <w:lang w:val="en-US" w:eastAsia="zh-CN"/>
        </w:rPr>
        <w:t>24</w:t>
      </w:r>
      <w:r>
        <w:rPr>
          <w:rFonts w:hint="default" w:ascii="Times New Roman" w:hAnsi="Times New Roman" w:eastAsia="宋体" w:cs="Times New Roman"/>
          <w:color w:val="000000"/>
          <w:sz w:val="24"/>
          <w:szCs w:val="24"/>
        </w:rPr>
        <w:t>日</w:t>
      </w:r>
      <w:r>
        <w:rPr>
          <w:rFonts w:hint="default" w:ascii="Times New Roman" w:hAnsi="Times New Roman" w:eastAsia="宋体" w:cs="Times New Roman"/>
          <w:color w:val="000000"/>
          <w:sz w:val="24"/>
          <w:szCs w:val="24"/>
          <w:lang w:eastAsia="zh-CN"/>
        </w:rPr>
        <w:t>至20</w:t>
      </w:r>
      <w:r>
        <w:rPr>
          <w:rFonts w:hint="eastAsia" w:ascii="Times New Roman" w:hAnsi="Times New Roman" w:cs="Times New Roman"/>
          <w:color w:val="000000"/>
          <w:sz w:val="24"/>
          <w:szCs w:val="24"/>
          <w:lang w:val="en-US" w:eastAsia="zh-CN"/>
        </w:rPr>
        <w:t>20</w:t>
      </w:r>
      <w:r>
        <w:rPr>
          <w:rFonts w:hint="default" w:ascii="Times New Roman" w:hAnsi="Times New Roman" w:eastAsia="宋体" w:cs="Times New Roman"/>
          <w:color w:val="000000"/>
          <w:sz w:val="24"/>
          <w:szCs w:val="24"/>
          <w:lang w:eastAsia="zh-CN"/>
        </w:rPr>
        <w:t>年</w:t>
      </w:r>
      <w:r>
        <w:rPr>
          <w:rFonts w:hint="eastAsia" w:ascii="Times New Roman" w:hAnsi="Times New Roman" w:cs="Times New Roman"/>
          <w:color w:val="000000"/>
          <w:sz w:val="24"/>
          <w:szCs w:val="24"/>
          <w:lang w:val="en-US" w:eastAsia="zh-CN"/>
        </w:rPr>
        <w:t>08</w:t>
      </w:r>
      <w:r>
        <w:rPr>
          <w:rFonts w:hint="default" w:ascii="Times New Roman" w:hAnsi="Times New Roman" w:cs="Times New Roman"/>
          <w:color w:val="000000"/>
          <w:sz w:val="24"/>
          <w:szCs w:val="24"/>
          <w:lang w:val="en-US" w:eastAsia="zh-CN"/>
        </w:rPr>
        <w:t>月</w:t>
      </w:r>
      <w:r>
        <w:rPr>
          <w:rFonts w:hint="eastAsia" w:ascii="Times New Roman" w:hAnsi="Times New Roman" w:cs="Times New Roman"/>
          <w:color w:val="000000"/>
          <w:sz w:val="24"/>
          <w:szCs w:val="24"/>
          <w:lang w:val="en-US" w:eastAsia="zh-CN"/>
        </w:rPr>
        <w:t>25</w:t>
      </w:r>
      <w:r>
        <w:rPr>
          <w:rFonts w:hint="default" w:ascii="Times New Roman" w:hAnsi="Times New Roman" w:eastAsia="宋体" w:cs="Times New Roman"/>
          <w:color w:val="000000"/>
          <w:sz w:val="24"/>
          <w:szCs w:val="24"/>
          <w:lang w:val="en-US" w:eastAsia="zh-CN"/>
        </w:rPr>
        <w:t>日</w:t>
      </w:r>
      <w:r>
        <w:rPr>
          <w:rFonts w:hint="default" w:ascii="Times New Roman" w:hAnsi="Times New Roman" w:eastAsia="宋体" w:cs="Times New Roman"/>
          <w:color w:val="000000"/>
          <w:sz w:val="24"/>
          <w:szCs w:val="24"/>
        </w:rPr>
        <w:t>进行了</w:t>
      </w:r>
      <w:r>
        <w:rPr>
          <w:rFonts w:hint="eastAsia" w:ascii="Times New Roman" w:hAnsi="Times New Roman" w:cs="Times New Roman"/>
          <w:sz w:val="24"/>
          <w:szCs w:val="24"/>
          <w:lang w:val="en-US" w:eastAsia="zh-CN"/>
        </w:rPr>
        <w:t>阶段</w:t>
      </w:r>
      <w:r>
        <w:rPr>
          <w:rFonts w:hint="default" w:ascii="Times New Roman" w:hAnsi="Times New Roman" w:eastAsia="宋体" w:cs="Times New Roman"/>
          <w:color w:val="000000"/>
          <w:sz w:val="24"/>
          <w:szCs w:val="24"/>
        </w:rPr>
        <w:t>验收</w:t>
      </w:r>
      <w:r>
        <w:rPr>
          <w:rFonts w:hint="default" w:ascii="Times New Roman" w:hAnsi="Times New Roman" w:eastAsia="宋体" w:cs="Times New Roman"/>
          <w:color w:val="000000"/>
          <w:sz w:val="24"/>
          <w:szCs w:val="24"/>
          <w:lang w:eastAsia="zh-CN"/>
        </w:rPr>
        <w:t>监</w:t>
      </w:r>
      <w:r>
        <w:rPr>
          <w:rFonts w:hint="default" w:ascii="Times New Roman" w:hAnsi="Times New Roman" w:eastAsia="宋体" w:cs="Times New Roman"/>
          <w:color w:val="000000"/>
          <w:sz w:val="24"/>
          <w:szCs w:val="24"/>
        </w:rPr>
        <w:t>测。监测期间，</w:t>
      </w:r>
      <w:r>
        <w:rPr>
          <w:rFonts w:hint="default" w:ascii="Times New Roman" w:hAnsi="Times New Roman" w:eastAsia="宋体" w:cs="Times New Roman"/>
          <w:color w:val="000000"/>
          <w:sz w:val="24"/>
          <w:szCs w:val="24"/>
          <w:lang w:eastAsia="zh-CN"/>
        </w:rPr>
        <w:t>经核实</w:t>
      </w:r>
      <w:r>
        <w:rPr>
          <w:rFonts w:hint="default" w:ascii="Times New Roman" w:hAnsi="Times New Roman" w:cs="Times New Roman"/>
          <w:color w:val="000000"/>
          <w:sz w:val="24"/>
          <w:szCs w:val="24"/>
          <w:lang w:eastAsia="zh-CN"/>
        </w:rPr>
        <w:t>产品生产</w:t>
      </w:r>
      <w:r>
        <w:rPr>
          <w:rFonts w:hint="default" w:ascii="Times New Roman" w:hAnsi="Times New Roman" w:eastAsia="宋体" w:cs="Times New Roman"/>
          <w:color w:val="000000"/>
          <w:sz w:val="24"/>
          <w:szCs w:val="24"/>
          <w:lang w:eastAsia="zh-CN"/>
        </w:rPr>
        <w:t>情况，经计算</w:t>
      </w:r>
      <w:r>
        <w:rPr>
          <w:rFonts w:hint="default" w:ascii="Times New Roman" w:hAnsi="Times New Roman" w:eastAsia="宋体" w:cs="Times New Roman"/>
          <w:color w:val="000000"/>
          <w:sz w:val="24"/>
          <w:szCs w:val="24"/>
        </w:rPr>
        <w:t>企业</w:t>
      </w:r>
      <w:r>
        <w:rPr>
          <w:rFonts w:hint="default" w:ascii="Times New Roman" w:hAnsi="Times New Roman" w:eastAsia="宋体" w:cs="Times New Roman"/>
          <w:color w:val="auto"/>
          <w:sz w:val="24"/>
          <w:szCs w:val="24"/>
        </w:rPr>
        <w:t>生产负荷</w:t>
      </w:r>
      <w:r>
        <w:rPr>
          <w:rFonts w:hint="default" w:ascii="Times New Roman" w:hAnsi="Times New Roman" w:eastAsia="宋体" w:cs="Times New Roman"/>
          <w:color w:val="auto"/>
          <w:sz w:val="24"/>
          <w:szCs w:val="24"/>
          <w:lang w:eastAsia="zh-CN"/>
        </w:rPr>
        <w:t>为</w:t>
      </w:r>
      <w:r>
        <w:rPr>
          <w:rFonts w:hint="eastAsia" w:ascii="Times New Roman" w:hAnsi="Times New Roman" w:cs="Times New Roman"/>
          <w:color w:val="auto"/>
          <w:sz w:val="24"/>
          <w:szCs w:val="24"/>
          <w:lang w:val="en-US" w:eastAsia="zh-CN"/>
        </w:rPr>
        <w:t>75</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000000"/>
          <w:sz w:val="24"/>
          <w:szCs w:val="24"/>
        </w:rPr>
        <w:t>满足环保验收检测技术要求。</w:t>
      </w:r>
    </w:p>
    <w:p>
      <w:pPr>
        <w:pStyle w:val="7"/>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b/>
          <w:sz w:val="24"/>
          <w:szCs w:val="24"/>
        </w:rPr>
        <w:t>表6-1  检测工况调查结果</w:t>
      </w:r>
    </w:p>
    <w:tbl>
      <w:tblPr>
        <w:tblStyle w:val="23"/>
        <w:tblW w:w="8534" w:type="dxa"/>
        <w:tblInd w:w="108"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209"/>
        <w:gridCol w:w="1750"/>
        <w:gridCol w:w="2138"/>
        <w:gridCol w:w="2250"/>
        <w:gridCol w:w="118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检测日期</w:t>
            </w:r>
          </w:p>
        </w:tc>
        <w:tc>
          <w:tcPr>
            <w:tcW w:w="1750"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产品名称</w:t>
            </w:r>
          </w:p>
        </w:tc>
        <w:tc>
          <w:tcPr>
            <w:tcW w:w="2138"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设计产量</w:t>
            </w:r>
          </w:p>
        </w:tc>
        <w:tc>
          <w:tcPr>
            <w:tcW w:w="2250"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实际产量</w:t>
            </w:r>
          </w:p>
        </w:tc>
        <w:tc>
          <w:tcPr>
            <w:tcW w:w="1187"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生产负荷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2020.08.24</w:t>
            </w:r>
          </w:p>
        </w:tc>
        <w:tc>
          <w:tcPr>
            <w:tcW w:w="1750" w:type="dxa"/>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维修养护汽车</w:t>
            </w:r>
          </w:p>
        </w:tc>
        <w:tc>
          <w:tcPr>
            <w:tcW w:w="2138" w:type="dxa"/>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8.3辆次/d</w:t>
            </w:r>
          </w:p>
        </w:tc>
        <w:tc>
          <w:tcPr>
            <w:tcW w:w="2250" w:type="dxa"/>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sz w:val="21"/>
                <w:szCs w:val="21"/>
                <w:lang w:val="en-US" w:eastAsia="zh-CN"/>
              </w:rPr>
              <w:t>6.2辆次/d</w:t>
            </w:r>
          </w:p>
        </w:tc>
        <w:tc>
          <w:tcPr>
            <w:tcW w:w="1187"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75</w:t>
            </w:r>
            <w:r>
              <w:rPr>
                <w:rFonts w:hint="default" w:ascii="Times New Roman" w:hAnsi="Times New Roman" w:eastAsia="宋体" w:cs="Times New Roman"/>
                <w:color w:val="auto"/>
                <w:sz w:val="21"/>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2020.08.25</w:t>
            </w:r>
          </w:p>
        </w:tc>
        <w:tc>
          <w:tcPr>
            <w:tcW w:w="1750" w:type="dxa"/>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维修养护汽车</w:t>
            </w:r>
          </w:p>
        </w:tc>
        <w:tc>
          <w:tcPr>
            <w:tcW w:w="2138" w:type="dxa"/>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8.3辆次/d</w:t>
            </w:r>
          </w:p>
        </w:tc>
        <w:tc>
          <w:tcPr>
            <w:tcW w:w="2250" w:type="dxa"/>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sz w:val="21"/>
                <w:szCs w:val="21"/>
                <w:lang w:val="en-US" w:eastAsia="zh-CN"/>
              </w:rPr>
              <w:t>6.2辆次/d</w:t>
            </w:r>
          </w:p>
        </w:tc>
        <w:tc>
          <w:tcPr>
            <w:tcW w:w="1187" w:type="dxa"/>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sz w:val="21"/>
                <w:szCs w:val="21"/>
                <w:lang w:val="en-US" w:eastAsia="zh-CN"/>
              </w:rPr>
              <w:t>75</w:t>
            </w:r>
            <w:r>
              <w:rPr>
                <w:rFonts w:hint="default" w:ascii="Times New Roman" w:hAnsi="Times New Roman" w:eastAsia="宋体" w:cs="Times New Roman"/>
                <w:color w:val="auto"/>
                <w:sz w:val="21"/>
                <w:szCs w:val="21"/>
              </w:rPr>
              <w:t>%</w:t>
            </w:r>
          </w:p>
        </w:tc>
      </w:tr>
    </w:tbl>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37" w:name="_Toc11783"/>
      <w:bookmarkStart w:id="238" w:name="_Toc28206"/>
      <w:bookmarkStart w:id="239" w:name="_Toc3129"/>
      <w:bookmarkStart w:id="240" w:name="_Toc21494"/>
      <w:r>
        <w:rPr>
          <w:rFonts w:hint="default" w:ascii="Times New Roman" w:hAnsi="Times New Roman" w:eastAsia="宋体" w:cs="Times New Roman"/>
        </w:rPr>
        <w:t>6.1 质量保障体系</w:t>
      </w:r>
      <w:bookmarkEnd w:id="237"/>
      <w:bookmarkEnd w:id="238"/>
      <w:bookmarkEnd w:id="239"/>
      <w:bookmarkEnd w:id="240"/>
    </w:p>
    <w:p>
      <w:pPr>
        <w:spacing w:line="440" w:lineRule="atLeast"/>
        <w:ind w:firstLine="480" w:firstLineChars="200"/>
        <w:rPr>
          <w:rFonts w:hint="default" w:ascii="Times New Roman" w:hAnsi="Times New Roman" w:eastAsia="宋体" w:cs="Times New Roman"/>
          <w:sz w:val="24"/>
        </w:rPr>
      </w:pPr>
      <w:bookmarkStart w:id="241"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cs="Times New Roman"/>
          <w:sz w:val="24"/>
          <w:lang w:val="en-US" w:eastAsia="zh-CN"/>
        </w:rPr>
        <w:t>5</w:t>
      </w:r>
      <w:r>
        <w:rPr>
          <w:rFonts w:hint="default" w:ascii="Times New Roman" w:hAnsi="Times New Roman" w:eastAsia="宋体" w:cs="Times New Roman"/>
          <w:sz w:val="24"/>
        </w:rPr>
        <w:t>）检测数据严格执行三级审核制度。</w:t>
      </w:r>
      <w:bookmarkEnd w:id="241"/>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42" w:name="_Toc28946"/>
      <w:bookmarkStart w:id="243" w:name="_Toc1077"/>
      <w:bookmarkStart w:id="244" w:name="_Toc8128"/>
      <w:bookmarkStart w:id="245" w:name="_Toc3676"/>
      <w:r>
        <w:rPr>
          <w:rFonts w:hint="default" w:ascii="Times New Roman" w:hAnsi="Times New Roman" w:eastAsia="宋体" w:cs="Times New Roman"/>
        </w:rPr>
        <w:t>6.2 检测分析方法</w:t>
      </w:r>
      <w:bookmarkEnd w:id="242"/>
      <w:bookmarkEnd w:id="243"/>
      <w:bookmarkEnd w:id="244"/>
      <w:bookmarkEnd w:id="245"/>
    </w:p>
    <w:p>
      <w:pPr>
        <w:pStyle w:val="5"/>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6" w:name="_Toc4984"/>
      <w:bookmarkStart w:id="247" w:name="_Toc497001482"/>
      <w:bookmarkStart w:id="248" w:name="_Toc8277"/>
      <w:bookmarkStart w:id="249" w:name="_Toc32561"/>
      <w:bookmarkStart w:id="250" w:name="_Toc25471"/>
      <w:bookmarkStart w:id="251" w:name="_Toc6111"/>
      <w:r>
        <w:rPr>
          <w:rFonts w:hint="default" w:ascii="Times New Roman" w:hAnsi="Times New Roman" w:eastAsia="宋体" w:cs="Times New Roman"/>
        </w:rPr>
        <w:t>6.2.1 检测点位、项目及频次</w:t>
      </w:r>
      <w:bookmarkEnd w:id="246"/>
      <w:bookmarkEnd w:id="247"/>
      <w:bookmarkEnd w:id="248"/>
      <w:bookmarkEnd w:id="249"/>
      <w:bookmarkEnd w:id="250"/>
      <w:bookmarkEnd w:id="251"/>
    </w:p>
    <w:p>
      <w:pPr>
        <w:spacing w:line="40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废气检测点位、项目及频次</w:t>
      </w:r>
    </w:p>
    <w:tbl>
      <w:tblPr>
        <w:tblStyle w:val="22"/>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29"/>
        <w:gridCol w:w="2762"/>
        <w:gridCol w:w="23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429"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cs="Times New Roman" w:eastAsiaTheme="minorEastAsia"/>
                <w:b/>
                <w:color w:val="auto"/>
                <w:kern w:val="0"/>
                <w:sz w:val="21"/>
                <w:szCs w:val="21"/>
              </w:rPr>
            </w:pPr>
            <w:r>
              <w:rPr>
                <w:rFonts w:hint="default" w:ascii="Times New Roman" w:hAnsi="Times New Roman" w:cs="Times New Roman" w:eastAsiaTheme="minorEastAsia"/>
                <w:b/>
                <w:color w:val="auto"/>
                <w:kern w:val="0"/>
                <w:sz w:val="21"/>
                <w:szCs w:val="21"/>
              </w:rPr>
              <w:t>检测位置</w:t>
            </w:r>
          </w:p>
        </w:tc>
        <w:tc>
          <w:tcPr>
            <w:tcW w:w="2762"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cs="Times New Roman" w:eastAsiaTheme="minorEastAsia"/>
                <w:b/>
                <w:color w:val="auto"/>
                <w:kern w:val="0"/>
                <w:sz w:val="21"/>
                <w:szCs w:val="21"/>
              </w:rPr>
            </w:pPr>
            <w:r>
              <w:rPr>
                <w:rFonts w:hint="default" w:ascii="Times New Roman" w:hAnsi="Times New Roman" w:cs="Times New Roman" w:eastAsiaTheme="minorEastAsia"/>
                <w:b/>
                <w:color w:val="auto"/>
                <w:kern w:val="0"/>
                <w:sz w:val="21"/>
                <w:szCs w:val="21"/>
              </w:rPr>
              <w:t>检测内容</w:t>
            </w:r>
          </w:p>
        </w:tc>
        <w:tc>
          <w:tcPr>
            <w:tcW w:w="2313"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cs="Times New Roman" w:eastAsiaTheme="minorEastAsia"/>
                <w:b/>
                <w:color w:val="auto"/>
                <w:kern w:val="0"/>
                <w:sz w:val="21"/>
                <w:szCs w:val="21"/>
              </w:rPr>
            </w:pPr>
            <w:r>
              <w:rPr>
                <w:rFonts w:hint="default" w:ascii="Times New Roman" w:hAnsi="Times New Roman" w:cs="Times New Roman" w:eastAsiaTheme="minorEastAsia"/>
                <w:b/>
                <w:color w:val="auto"/>
                <w:kern w:val="0"/>
                <w:sz w:val="21"/>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429"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喷漆烘烤工序废气</w:t>
            </w:r>
          </w:p>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处理设施进口</w:t>
            </w:r>
          </w:p>
        </w:tc>
        <w:tc>
          <w:tcPr>
            <w:tcW w:w="2762"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非甲烷总烃（以碳计）</w:t>
            </w:r>
          </w:p>
        </w:tc>
        <w:tc>
          <w:tcPr>
            <w:tcW w:w="0" w:type="auto"/>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每天检测3次，检测2天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429"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喷漆烘烤工序废气</w:t>
            </w:r>
          </w:p>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处理设施出口</w:t>
            </w:r>
          </w:p>
        </w:tc>
        <w:tc>
          <w:tcPr>
            <w:tcW w:w="2762"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非甲烷总烃（以碳计）、苯、</w:t>
            </w:r>
          </w:p>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甲苯、二甲苯、颗粒物</w:t>
            </w:r>
          </w:p>
        </w:tc>
        <w:tc>
          <w:tcPr>
            <w:tcW w:w="0" w:type="auto"/>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每天检测3次，检测2天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429"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排放源</w:t>
            </w:r>
            <w:r>
              <w:rPr>
                <w:rFonts w:hint="eastAsia" w:ascii="Times New Roman" w:hAnsi="Times New Roman" w:cs="Times New Roman" w:eastAsiaTheme="minorEastAsia"/>
                <w:sz w:val="21"/>
                <w:szCs w:val="21"/>
                <w:lang w:val="en-US" w:eastAsia="zh-CN"/>
              </w:rPr>
              <w:t>上</w:t>
            </w:r>
            <w:r>
              <w:rPr>
                <w:rFonts w:hint="default" w:ascii="Times New Roman" w:hAnsi="Times New Roman" w:cs="Times New Roman" w:eastAsiaTheme="minorEastAsia"/>
                <w:sz w:val="21"/>
                <w:szCs w:val="21"/>
                <w:lang w:val="en-US" w:eastAsia="zh-CN"/>
              </w:rPr>
              <w:t>风向厂界外设置</w:t>
            </w:r>
            <w:r>
              <w:rPr>
                <w:rFonts w:hint="eastAsia" w:ascii="Times New Roman" w:hAnsi="Times New Roman" w:cs="Times New Roman" w:eastAsiaTheme="minorEastAsia"/>
                <w:sz w:val="21"/>
                <w:szCs w:val="21"/>
                <w:lang w:val="en-US" w:eastAsia="zh-CN"/>
              </w:rPr>
              <w:t>1</w:t>
            </w:r>
            <w:r>
              <w:rPr>
                <w:rFonts w:hint="default" w:ascii="Times New Roman" w:hAnsi="Times New Roman" w:cs="Times New Roman" w:eastAsiaTheme="minorEastAsia"/>
                <w:sz w:val="21"/>
                <w:szCs w:val="21"/>
                <w:lang w:val="en-US" w:eastAsia="zh-CN"/>
              </w:rPr>
              <w:t>个检测点</w:t>
            </w:r>
            <w:r>
              <w:rPr>
                <w:rFonts w:hint="eastAsia" w:ascii="Times New Roman" w:hAnsi="Times New Roman" w:cs="Times New Roman" w:eastAsiaTheme="minorEastAsia"/>
                <w:sz w:val="21"/>
                <w:szCs w:val="21"/>
                <w:lang w:val="en-US" w:eastAsia="zh-CN"/>
              </w:rPr>
              <w:t>；</w:t>
            </w:r>
            <w:r>
              <w:rPr>
                <w:rFonts w:hint="default" w:ascii="Times New Roman" w:hAnsi="Times New Roman" w:cs="Times New Roman" w:eastAsiaTheme="minorEastAsia"/>
                <w:sz w:val="21"/>
                <w:szCs w:val="21"/>
                <w:lang w:val="en-US" w:eastAsia="zh-CN"/>
              </w:rPr>
              <w:t>排放源下风向厂界外设置3个检测点</w:t>
            </w:r>
          </w:p>
        </w:tc>
        <w:tc>
          <w:tcPr>
            <w:tcW w:w="2762"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非甲烷总烃（以碳计）、</w:t>
            </w:r>
          </w:p>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颗粒物、苯、甲苯、二甲苯</w:t>
            </w:r>
          </w:p>
        </w:tc>
        <w:tc>
          <w:tcPr>
            <w:tcW w:w="0" w:type="auto"/>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每天检测3次，检测2天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429"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车间设置1个检测点位</w:t>
            </w:r>
          </w:p>
        </w:tc>
        <w:tc>
          <w:tcPr>
            <w:tcW w:w="2762" w:type="dxa"/>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非甲烷总烃（以碳计）</w:t>
            </w:r>
          </w:p>
        </w:tc>
        <w:tc>
          <w:tcPr>
            <w:tcW w:w="0" w:type="auto"/>
            <w:tcMar>
              <w:top w:w="0" w:type="dxa"/>
              <w:left w:w="0" w:type="dxa"/>
              <w:bottom w:w="0" w:type="dxa"/>
              <w:right w:w="0" w:type="dxa"/>
            </w:tcMar>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每天检测3次，检测2天</w:t>
            </w:r>
          </w:p>
        </w:tc>
      </w:tr>
    </w:tbl>
    <w:p>
      <w:pPr>
        <w:pStyle w:val="8"/>
        <w:rPr>
          <w:rFonts w:hint="default" w:ascii="Times New Roman" w:hAnsi="Times New Roman" w:eastAsia="宋体" w:cs="Times New Roman"/>
          <w:kern w:val="2"/>
          <w:sz w:val="24"/>
          <w:szCs w:val="22"/>
          <w:lang w:val="en-US" w:eastAsia="zh-CN" w:bidi="ar-SA"/>
        </w:rPr>
      </w:pPr>
      <w:r>
        <w:rPr>
          <w:rFonts w:hint="default" w:ascii="Times New Roman" w:hAnsi="Times New Roman" w:eastAsia="宋体" w:cs="Times New Roman"/>
          <w:sz w:val="24"/>
        </w:rPr>
        <w:t>②</w:t>
      </w:r>
      <w:r>
        <w:rPr>
          <w:rFonts w:hint="eastAsia" w:ascii="Times New Roman" w:hAnsi="Times New Roman" w:cs="Times New Roman"/>
          <w:sz w:val="24"/>
          <w:lang w:eastAsia="zh-CN"/>
        </w:rPr>
        <w:t>噪声</w:t>
      </w:r>
      <w:r>
        <w:rPr>
          <w:rFonts w:hint="default" w:ascii="Times New Roman" w:hAnsi="Times New Roman" w:eastAsia="宋体" w:cs="Times New Roman"/>
          <w:sz w:val="24"/>
        </w:rPr>
        <w:t>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cs="Times New Roman"/>
          <w:b/>
          <w:sz w:val="24"/>
          <w:lang w:val="en-US" w:eastAsia="zh-CN"/>
        </w:rPr>
        <w:t>3</w:t>
      </w:r>
      <w:r>
        <w:rPr>
          <w:rFonts w:hint="default" w:ascii="Times New Roman" w:hAnsi="Times New Roman" w:eastAsia="宋体" w:cs="Times New Roman"/>
          <w:b/>
          <w:sz w:val="24"/>
        </w:rPr>
        <w:t xml:space="preserve">  噪声检测点位、项目及频次</w:t>
      </w:r>
    </w:p>
    <w:tbl>
      <w:tblPr>
        <w:tblStyle w:val="22"/>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494"/>
        <w:gridCol w:w="25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447" w:type="dxa"/>
            <w:vAlign w:val="center"/>
          </w:tcPr>
          <w:p>
            <w:pPr>
              <w:keepNext w:val="0"/>
              <w:keepLines w:val="0"/>
              <w:suppressLineNumbers w:val="0"/>
              <w:spacing w:before="0" w:beforeAutospacing="0" w:after="0" w:afterAutospacing="0" w:line="360" w:lineRule="auto"/>
              <w:ind w:left="0"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2494" w:type="dxa"/>
            <w:vAlign w:val="center"/>
          </w:tcPr>
          <w:p>
            <w:pPr>
              <w:keepNext w:val="0"/>
              <w:keepLines w:val="0"/>
              <w:suppressLineNumbers w:val="0"/>
              <w:spacing w:before="0" w:beforeAutospacing="0" w:after="0" w:afterAutospacing="0" w:line="360" w:lineRule="auto"/>
              <w:ind w:left="0"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2598" w:type="dxa"/>
            <w:vAlign w:val="center"/>
          </w:tcPr>
          <w:p>
            <w:pPr>
              <w:keepNext w:val="0"/>
              <w:keepLines w:val="0"/>
              <w:suppressLineNumbers w:val="0"/>
              <w:spacing w:before="0" w:beforeAutospacing="0" w:after="0" w:afterAutospacing="0" w:line="360" w:lineRule="auto"/>
              <w:ind w:left="0"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jc w:val="center"/>
        </w:trPr>
        <w:tc>
          <w:tcPr>
            <w:tcW w:w="3447" w:type="dxa"/>
            <w:vAlign w:val="center"/>
          </w:tcPr>
          <w:p>
            <w:pPr>
              <w:keepNext w:val="0"/>
              <w:keepLines w:val="0"/>
              <w:suppressLineNumbers w:val="0"/>
              <w:spacing w:before="0" w:beforeAutospacing="0" w:after="0" w:afterAutospacing="0" w:line="240" w:lineRule="exact"/>
              <w:ind w:left="-107" w:leftChars="-51" w:right="-107" w:rightChars="-51"/>
              <w:jc w:val="center"/>
              <w:rPr>
                <w:rFonts w:hint="default" w:ascii="Times New Roman" w:hAnsi="Times New Roman" w:eastAsia="宋体" w:cs="Times New Roman"/>
              </w:rPr>
            </w:pPr>
            <w:r>
              <w:rPr>
                <w:rFonts w:hint="default" w:ascii="Times New Roman" w:hAnsi="Times New Roman" w:eastAsia="宋体" w:cs="Times New Roman"/>
              </w:rPr>
              <w:t>厂界四周每个方向各</w:t>
            </w:r>
            <w:r>
              <w:rPr>
                <w:rFonts w:hint="default" w:ascii="Times New Roman" w:hAnsi="Times New Roman" w:cs="Times New Roman"/>
                <w:lang w:eastAsia="zh-CN"/>
              </w:rPr>
              <w:t>设置</w:t>
            </w:r>
            <w:r>
              <w:rPr>
                <w:rFonts w:hint="default" w:ascii="Times New Roman" w:hAnsi="Times New Roman" w:eastAsia="宋体" w:cs="Times New Roman"/>
              </w:rPr>
              <w:t>1个</w:t>
            </w:r>
            <w:r>
              <w:rPr>
                <w:rFonts w:hint="default" w:ascii="Times New Roman" w:hAnsi="Times New Roman" w:eastAsia="宋体" w:cs="Times New Roman"/>
                <w:lang w:eastAsia="zh-CN"/>
              </w:rPr>
              <w:t>检</w:t>
            </w:r>
            <w:r>
              <w:rPr>
                <w:rFonts w:hint="default" w:ascii="Times New Roman" w:hAnsi="Times New Roman" w:eastAsia="宋体" w:cs="Times New Roman"/>
              </w:rPr>
              <w:t>测点</w:t>
            </w:r>
          </w:p>
        </w:tc>
        <w:tc>
          <w:tcPr>
            <w:tcW w:w="249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jc w:val="center"/>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连续等效A声级，Leq(A)</w:t>
            </w:r>
          </w:p>
        </w:tc>
        <w:tc>
          <w:tcPr>
            <w:tcW w:w="2598"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107" w:leftChars="-51" w:right="-120" w:rightChars="-57"/>
              <w:jc w:val="center"/>
              <w:textAlignment w:val="auto"/>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检测2天，</w:t>
            </w:r>
            <w:r>
              <w:rPr>
                <w:rFonts w:hint="eastAsia" w:ascii="Times New Roman" w:hAnsi="Times New Roman" w:cs="Times New Roman"/>
                <w:kern w:val="0"/>
                <w:szCs w:val="21"/>
                <w:lang w:eastAsia="zh-CN"/>
              </w:rPr>
              <w:t>昼间、夜间各</w:t>
            </w:r>
            <w:r>
              <w:rPr>
                <w:rFonts w:hint="default" w:ascii="Times New Roman" w:hAnsi="Times New Roman" w:eastAsia="宋体" w:cs="Times New Roman"/>
                <w:kern w:val="0"/>
                <w:szCs w:val="21"/>
              </w:rPr>
              <w:t>检测1次</w:t>
            </w:r>
          </w:p>
        </w:tc>
      </w:tr>
    </w:tbl>
    <w:p>
      <w:pPr>
        <w:pStyle w:val="5"/>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52" w:name="_Toc31605"/>
      <w:bookmarkStart w:id="253" w:name="_Toc8755"/>
      <w:bookmarkStart w:id="254" w:name="_Toc17272"/>
      <w:bookmarkStart w:id="255" w:name="_Toc26262"/>
      <w:bookmarkStart w:id="256" w:name="_Toc497001483"/>
      <w:bookmarkStart w:id="257" w:name="_Toc20260"/>
      <w:r>
        <w:rPr>
          <w:rFonts w:hint="default" w:ascii="Times New Roman" w:hAnsi="Times New Roman" w:eastAsia="宋体" w:cs="Times New Roman"/>
        </w:rPr>
        <w:t>6.2.2检测分析方法</w:t>
      </w:r>
      <w:bookmarkEnd w:id="252"/>
      <w:bookmarkEnd w:id="253"/>
      <w:bookmarkEnd w:id="254"/>
      <w:bookmarkEnd w:id="255"/>
      <w:bookmarkEnd w:id="256"/>
      <w:bookmarkEnd w:id="257"/>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cs="Times New Roman"/>
          <w:b/>
          <w:sz w:val="24"/>
          <w:lang w:val="en-US" w:eastAsia="zh-CN"/>
        </w:rPr>
        <w:t>4</w:t>
      </w:r>
      <w:r>
        <w:rPr>
          <w:rFonts w:hint="default" w:ascii="Times New Roman" w:hAnsi="Times New Roman" w:eastAsia="宋体" w:cs="Times New Roman"/>
          <w:b/>
          <w:sz w:val="24"/>
        </w:rPr>
        <w:t xml:space="preserve">  废气检测项目分析方法及所用仪器</w:t>
      </w:r>
    </w:p>
    <w:tbl>
      <w:tblPr>
        <w:tblStyle w:val="22"/>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3111"/>
        <w:gridCol w:w="1243"/>
        <w:gridCol w:w="29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jc w:val="center"/>
        </w:trPr>
        <w:tc>
          <w:tcPr>
            <w:tcW w:w="1162"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cs="Times New Roman" w:eastAsiaTheme="minorEastAsia"/>
                <w:b/>
                <w:color w:val="auto"/>
                <w:sz w:val="21"/>
                <w:szCs w:val="21"/>
              </w:rPr>
            </w:pPr>
            <w:r>
              <w:rPr>
                <w:rFonts w:hint="default" w:ascii="Times New Roman" w:hAnsi="Times New Roman" w:cs="Times New Roman" w:eastAsiaTheme="minorEastAsia"/>
                <w:b/>
                <w:color w:val="auto"/>
                <w:sz w:val="21"/>
                <w:szCs w:val="21"/>
              </w:rPr>
              <w:t>检测项目</w:t>
            </w:r>
          </w:p>
        </w:tc>
        <w:tc>
          <w:tcPr>
            <w:tcW w:w="3111"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cs="Times New Roman" w:eastAsiaTheme="minorEastAsia"/>
                <w:b/>
                <w:color w:val="auto"/>
                <w:sz w:val="21"/>
                <w:szCs w:val="21"/>
              </w:rPr>
            </w:pPr>
            <w:r>
              <w:rPr>
                <w:rFonts w:hint="default" w:ascii="Times New Roman" w:hAnsi="Times New Roman" w:cs="Times New Roman" w:eastAsiaTheme="minorEastAsia"/>
                <w:b/>
                <w:color w:val="auto"/>
                <w:sz w:val="21"/>
                <w:szCs w:val="21"/>
              </w:rPr>
              <w:t>分析方法</w:t>
            </w:r>
          </w:p>
        </w:tc>
        <w:tc>
          <w:tcPr>
            <w:tcW w:w="1243"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cs="Times New Roman" w:eastAsiaTheme="minorEastAsia"/>
                <w:b/>
                <w:color w:val="auto"/>
                <w:sz w:val="21"/>
                <w:szCs w:val="21"/>
              </w:rPr>
            </w:pPr>
            <w:r>
              <w:rPr>
                <w:rFonts w:hint="default" w:ascii="Times New Roman" w:hAnsi="Times New Roman" w:cs="Times New Roman" w:eastAsiaTheme="minorEastAsia"/>
                <w:b/>
                <w:color w:val="auto"/>
                <w:sz w:val="21"/>
                <w:szCs w:val="21"/>
              </w:rPr>
              <w:t>检出限</w:t>
            </w:r>
          </w:p>
        </w:tc>
        <w:tc>
          <w:tcPr>
            <w:tcW w:w="2988" w:type="dxa"/>
            <w:tcBorders>
              <w:tl2br w:val="nil"/>
              <w:tr2bl w:val="nil"/>
            </w:tcBorders>
            <w:tcMar>
              <w:top w:w="0" w:type="dxa"/>
              <w:left w:w="0" w:type="dxa"/>
              <w:bottom w:w="0" w:type="dxa"/>
              <w:right w:w="0" w:type="dxa"/>
            </w:tcMar>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cs="Times New Roman" w:eastAsiaTheme="minorEastAsia"/>
                <w:b/>
                <w:color w:val="auto"/>
                <w:sz w:val="21"/>
                <w:szCs w:val="21"/>
              </w:rPr>
            </w:pPr>
            <w:r>
              <w:rPr>
                <w:rFonts w:hint="default" w:ascii="Times New Roman" w:hAnsi="Times New Roman" w:cs="Times New Roman" w:eastAsiaTheme="minorEastAsia"/>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7"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eastAsia="zh-CN"/>
              </w:rPr>
              <w:t>非甲烷总烃（以碳计）</w:t>
            </w:r>
          </w:p>
        </w:tc>
        <w:tc>
          <w:tcPr>
            <w:tcW w:w="3111"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eastAsia="zh-CN"/>
              </w:rPr>
            </w:pP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固定污染源废气 总烃、甲烷和非甲烷总烃的测定 气相色谱法</w:t>
            </w:r>
            <w:r>
              <w:rPr>
                <w:rFonts w:hint="eastAsia" w:ascii="Times New Roman" w:hAnsi="Times New Roman" w:cs="Times New Roman" w:eastAsiaTheme="minorEastAsia"/>
                <w:spacing w:val="0"/>
                <w:sz w:val="21"/>
                <w:szCs w:val="21"/>
                <w:lang w:eastAsia="zh-CN"/>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eastAsia="zh-CN"/>
              </w:rPr>
              <w:t xml:space="preserve"> HJ 38-2017</w:t>
            </w:r>
          </w:p>
        </w:tc>
        <w:tc>
          <w:tcPr>
            <w:tcW w:w="1243"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0.07mg/m</w:t>
            </w:r>
            <w:r>
              <w:rPr>
                <w:rFonts w:hint="eastAsia" w:ascii="Times New Roman" w:hAnsi="Times New Roman" w:cs="Times New Roman" w:eastAsiaTheme="minorEastAsia"/>
                <w:spacing w:val="0"/>
                <w:sz w:val="21"/>
                <w:szCs w:val="21"/>
                <w:vertAlign w:val="superscript"/>
                <w:lang w:val="en-US" w:eastAsia="zh-CN"/>
              </w:rPr>
              <w:t>3</w:t>
            </w:r>
          </w:p>
        </w:tc>
        <w:tc>
          <w:tcPr>
            <w:tcW w:w="2988"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GH-60E自动烟尘烟气测试仪（</w:t>
            </w:r>
            <w:r>
              <w:rPr>
                <w:rFonts w:hint="default" w:ascii="Times New Roman" w:hAnsi="Times New Roman" w:cs="Times New Roman" w:eastAsiaTheme="minorEastAsia"/>
                <w:spacing w:val="0"/>
                <w:sz w:val="21"/>
                <w:szCs w:val="21"/>
                <w:lang w:val="en-US" w:eastAsia="zh-CN"/>
              </w:rPr>
              <w:t>SB</w:t>
            </w:r>
            <w:r>
              <w:rPr>
                <w:rFonts w:hint="eastAsia" w:ascii="Times New Roman" w:hAnsi="Times New Roman" w:cs="Times New Roman" w:eastAsiaTheme="minorEastAsia"/>
                <w:spacing w:val="0"/>
                <w:sz w:val="21"/>
                <w:szCs w:val="21"/>
                <w:lang w:val="en-US" w:eastAsia="zh-CN"/>
              </w:rPr>
              <w:t>26）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GC-9790II气相色谱仪（SB125-2）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7" w:hRule="atLeast"/>
          <w:jc w:val="center"/>
        </w:trPr>
        <w:tc>
          <w:tcPr>
            <w:tcW w:w="1162"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p>
        </w:tc>
        <w:tc>
          <w:tcPr>
            <w:tcW w:w="3111"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环境空气 总烃、甲烷和非甲烷总烃的测定 直接进样-气相色谱法</w:t>
            </w: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HJ</w:t>
            </w:r>
            <w:r>
              <w:rPr>
                <w:rFonts w:hint="eastAsia" w:ascii="Times New Roman" w:hAnsi="Times New Roman" w:cs="Times New Roman" w:eastAsiaTheme="minorEastAsia"/>
                <w:spacing w:val="0"/>
                <w:sz w:val="21"/>
                <w:szCs w:val="21"/>
                <w:lang w:val="en-US" w:eastAsia="zh-CN"/>
              </w:rPr>
              <w:t xml:space="preserve"> </w:t>
            </w:r>
            <w:r>
              <w:rPr>
                <w:rFonts w:hint="default" w:ascii="Times New Roman" w:hAnsi="Times New Roman" w:cs="Times New Roman" w:eastAsiaTheme="minorEastAsia"/>
                <w:spacing w:val="0"/>
                <w:sz w:val="21"/>
                <w:szCs w:val="21"/>
                <w:lang w:eastAsia="zh-CN"/>
              </w:rPr>
              <w:t>604-2017</w:t>
            </w:r>
          </w:p>
        </w:tc>
        <w:tc>
          <w:tcPr>
            <w:tcW w:w="1243"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0.07mg/m</w:t>
            </w:r>
            <w:r>
              <w:rPr>
                <w:rFonts w:hint="eastAsia" w:ascii="Times New Roman" w:hAnsi="Times New Roman" w:cs="Times New Roman" w:eastAsiaTheme="minorEastAsia"/>
                <w:spacing w:val="0"/>
                <w:sz w:val="21"/>
                <w:szCs w:val="21"/>
                <w:vertAlign w:val="superscript"/>
                <w:lang w:val="en-US" w:eastAsia="zh-CN"/>
              </w:rPr>
              <w:t>3</w:t>
            </w:r>
          </w:p>
        </w:tc>
        <w:tc>
          <w:tcPr>
            <w:tcW w:w="2988"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GC-9790II气相色谱仪（SB18-5）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4"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val="en-US" w:eastAsia="zh-CN"/>
              </w:rPr>
              <w:t>颗粒物</w:t>
            </w:r>
          </w:p>
        </w:tc>
        <w:tc>
          <w:tcPr>
            <w:tcW w:w="3111"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《固定污染源废气 低浓度颗粒物的测定 重量法》 HJ 836-2017</w:t>
            </w:r>
          </w:p>
        </w:tc>
        <w:tc>
          <w:tcPr>
            <w:tcW w:w="1243"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1.0mg/m</w:t>
            </w:r>
            <w:r>
              <w:rPr>
                <w:rFonts w:hint="eastAsia" w:ascii="Times New Roman" w:hAnsi="Times New Roman" w:cs="Times New Roman" w:eastAsiaTheme="minorEastAsia"/>
                <w:spacing w:val="0"/>
                <w:sz w:val="21"/>
                <w:szCs w:val="21"/>
                <w:vertAlign w:val="superscript"/>
                <w:lang w:val="en-US" w:eastAsia="zh-CN"/>
              </w:rPr>
              <w:t>3</w:t>
            </w:r>
          </w:p>
        </w:tc>
        <w:tc>
          <w:tcPr>
            <w:tcW w:w="2988" w:type="dxa"/>
            <w:tcBorders>
              <w:tl2br w:val="nil"/>
              <w:tr2bl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GH-60E自动烟尘烟气测试仪（</w:t>
            </w:r>
            <w:r>
              <w:rPr>
                <w:rFonts w:hint="default" w:ascii="Times New Roman" w:hAnsi="Times New Roman" w:cs="Times New Roman" w:eastAsiaTheme="minorEastAsia"/>
                <w:spacing w:val="0"/>
                <w:sz w:val="21"/>
                <w:szCs w:val="21"/>
                <w:lang w:val="en-US" w:eastAsia="zh-CN"/>
              </w:rPr>
              <w:t>SB</w:t>
            </w:r>
            <w:r>
              <w:rPr>
                <w:rFonts w:hint="eastAsia" w:ascii="Times New Roman" w:hAnsi="Times New Roman" w:cs="Times New Roman" w:eastAsiaTheme="minorEastAsia"/>
                <w:spacing w:val="0"/>
                <w:sz w:val="21"/>
                <w:szCs w:val="21"/>
                <w:lang w:val="en-US" w:eastAsia="zh-CN"/>
              </w:rPr>
              <w:t>26）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val="en-US" w:eastAsia="zh-CN"/>
              </w:rPr>
              <w:t>EX125DZH</w:t>
            </w:r>
            <w:r>
              <w:rPr>
                <w:rFonts w:hint="eastAsia" w:ascii="Times New Roman" w:hAnsi="Times New Roman" w:cs="Times New Roman" w:eastAsiaTheme="minorEastAsia"/>
                <w:spacing w:val="0"/>
                <w:sz w:val="21"/>
                <w:szCs w:val="21"/>
                <w:lang w:val="en-US" w:eastAsia="zh-CN"/>
              </w:rPr>
              <w:t>电子天平（SB66）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恒温恒湿实验室（SB67）</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val="en-US" w:eastAsia="zh-CN"/>
              </w:rPr>
              <w:t>101-2A电热鼓风干燥箱</w:t>
            </w:r>
            <w:r>
              <w:rPr>
                <w:rFonts w:hint="eastAsia" w:ascii="Times New Roman" w:hAnsi="Times New Roman" w:cs="Times New Roman" w:eastAsiaTheme="minorEastAsia"/>
                <w:spacing w:val="0"/>
                <w:sz w:val="21"/>
                <w:szCs w:val="21"/>
                <w:lang w:val="en-US" w:eastAsia="zh-CN"/>
              </w:rPr>
              <w:t>（</w:t>
            </w:r>
            <w:r>
              <w:rPr>
                <w:rFonts w:hint="default" w:ascii="Times New Roman" w:hAnsi="Times New Roman" w:cs="Times New Roman" w:eastAsiaTheme="minorEastAsia"/>
                <w:spacing w:val="0"/>
                <w:sz w:val="21"/>
                <w:szCs w:val="21"/>
                <w:lang w:val="en-US" w:eastAsia="zh-CN"/>
              </w:rPr>
              <w:t>SB05</w:t>
            </w:r>
            <w:r>
              <w:rPr>
                <w:rFonts w:hint="eastAsia" w:ascii="Times New Roman" w:hAnsi="Times New Roman" w:cs="Times New Roman" w:eastAsiaTheme="minorEastAsia"/>
                <w:spacing w:val="0"/>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1162" w:type="dxa"/>
            <w:vMerge w:val="continue"/>
            <w:tcMar>
              <w:top w:w="0" w:type="dxa"/>
              <w:left w:w="0" w:type="dxa"/>
              <w:bottom w:w="0" w:type="dxa"/>
              <w:right w:w="0" w:type="dxa"/>
            </w:tcMa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p>
        </w:tc>
        <w:tc>
          <w:tcPr>
            <w:tcW w:w="3111"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环境空气 总悬浮颗粒物的测定 重量法</w:t>
            </w: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 xml:space="preserve"> GB/T 15432-1995</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eastAsia="zh-CN"/>
              </w:rPr>
              <w:t>及其修改单</w:t>
            </w:r>
          </w:p>
        </w:tc>
        <w:tc>
          <w:tcPr>
            <w:tcW w:w="1243"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0.001mg/m</w:t>
            </w:r>
            <w:r>
              <w:rPr>
                <w:rFonts w:hint="eastAsia" w:ascii="Times New Roman" w:hAnsi="Times New Roman" w:cs="Times New Roman" w:eastAsiaTheme="minorEastAsia"/>
                <w:spacing w:val="0"/>
                <w:sz w:val="21"/>
                <w:szCs w:val="21"/>
                <w:vertAlign w:val="superscript"/>
                <w:lang w:val="en-US" w:eastAsia="zh-CN"/>
              </w:rPr>
              <w:t>3</w:t>
            </w:r>
          </w:p>
        </w:tc>
        <w:tc>
          <w:tcPr>
            <w:tcW w:w="2988"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KB-6120综合大气采样器（SB53-13、14、15）</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DV215CD电子天平（SB65）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62"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eastAsia="zh-CN"/>
              </w:rPr>
              <w:t>苯</w:t>
            </w:r>
          </w:p>
        </w:tc>
        <w:tc>
          <w:tcPr>
            <w:tcW w:w="3111" w:type="dxa"/>
            <w:vMerge w:val="restart"/>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环境空气 苯系物的测定 活性炭吸附/二硫化碳解吸-气相色谱法</w:t>
            </w:r>
            <w:r>
              <w:rPr>
                <w:rFonts w:hint="eastAsia" w:ascii="Times New Roman" w:hAnsi="Times New Roman" w:cs="Times New Roman" w:eastAsiaTheme="minorEastAsia"/>
                <w:spacing w:val="0"/>
                <w:sz w:val="21"/>
                <w:szCs w:val="21"/>
                <w:lang w:eastAsia="zh-CN"/>
              </w:rPr>
              <w:t>》</w:t>
            </w:r>
            <w:r>
              <w:rPr>
                <w:rFonts w:hint="default" w:ascii="Times New Roman" w:hAnsi="Times New Roman" w:cs="Times New Roman" w:eastAsiaTheme="minorEastAsia"/>
                <w:spacing w:val="0"/>
                <w:sz w:val="21"/>
                <w:szCs w:val="21"/>
                <w:lang w:eastAsia="zh-CN"/>
              </w:rPr>
              <w:t>HJ 584-2010</w:t>
            </w:r>
          </w:p>
        </w:tc>
        <w:tc>
          <w:tcPr>
            <w:tcW w:w="1243" w:type="dxa"/>
            <w:vMerge w:val="restart"/>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0.0015</w:t>
            </w:r>
            <w:r>
              <w:rPr>
                <w:rFonts w:hint="default" w:ascii="Times New Roman" w:hAnsi="Times New Roman" w:cs="Times New Roman" w:eastAsiaTheme="minorEastAsia"/>
                <w:spacing w:val="0"/>
                <w:sz w:val="21"/>
                <w:szCs w:val="21"/>
                <w:lang w:val="en-US" w:eastAsia="zh-CN"/>
              </w:rPr>
              <w:t>mg/m</w:t>
            </w:r>
            <w:r>
              <w:rPr>
                <w:rFonts w:hint="default" w:ascii="Times New Roman" w:hAnsi="Times New Roman" w:cs="Times New Roman" w:eastAsiaTheme="minorEastAsia"/>
                <w:spacing w:val="0"/>
                <w:sz w:val="21"/>
                <w:szCs w:val="21"/>
                <w:vertAlign w:val="superscript"/>
                <w:lang w:val="en-US" w:eastAsia="zh-CN"/>
              </w:rPr>
              <w:t>3</w:t>
            </w:r>
          </w:p>
        </w:tc>
        <w:tc>
          <w:tcPr>
            <w:tcW w:w="2988" w:type="dxa"/>
            <w:vMerge w:val="restart"/>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GH-60E自动烟尘烟气测试仪（</w:t>
            </w:r>
            <w:r>
              <w:rPr>
                <w:rFonts w:hint="default" w:ascii="Times New Roman" w:hAnsi="Times New Roman" w:cs="Times New Roman" w:eastAsiaTheme="minorEastAsia"/>
                <w:spacing w:val="0"/>
                <w:sz w:val="21"/>
                <w:szCs w:val="21"/>
                <w:lang w:val="en-US" w:eastAsia="zh-CN"/>
              </w:rPr>
              <w:t>SB</w:t>
            </w:r>
            <w:r>
              <w:rPr>
                <w:rFonts w:hint="eastAsia" w:ascii="Times New Roman" w:hAnsi="Times New Roman" w:cs="Times New Roman" w:eastAsiaTheme="minorEastAsia"/>
                <w:spacing w:val="0"/>
                <w:sz w:val="21"/>
                <w:szCs w:val="21"/>
                <w:lang w:val="en-US" w:eastAsia="zh-CN"/>
              </w:rPr>
              <w:t>26）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KB-6120综合大气采样器（SB53-16、13、14、15）</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val="en-US" w:eastAsia="zh-CN"/>
              </w:rPr>
              <w:t>GC-9790</w:t>
            </w:r>
            <w:r>
              <w:rPr>
                <w:rFonts w:hint="eastAsia" w:ascii="Times New Roman" w:hAnsi="Times New Roman" w:cs="Times New Roman" w:eastAsiaTheme="minorEastAsia"/>
                <w:spacing w:val="0"/>
                <w:sz w:val="21"/>
                <w:szCs w:val="21"/>
                <w:lang w:val="en-US" w:eastAsia="zh-CN"/>
              </w:rPr>
              <w:t>II</w:t>
            </w:r>
            <w:r>
              <w:rPr>
                <w:rFonts w:hint="default" w:ascii="Times New Roman" w:hAnsi="Times New Roman" w:cs="Times New Roman" w:eastAsiaTheme="minorEastAsia"/>
                <w:spacing w:val="0"/>
                <w:sz w:val="21"/>
                <w:szCs w:val="21"/>
                <w:lang w:val="en-US" w:eastAsia="zh-CN"/>
              </w:rPr>
              <w:t>气相色谱仪</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w:t>
            </w:r>
            <w:r>
              <w:rPr>
                <w:rFonts w:hint="default" w:ascii="Times New Roman" w:hAnsi="Times New Roman" w:cs="Times New Roman" w:eastAsiaTheme="minorEastAsia"/>
                <w:spacing w:val="0"/>
                <w:sz w:val="21"/>
                <w:szCs w:val="21"/>
                <w:lang w:val="en-US" w:eastAsia="zh-CN"/>
              </w:rPr>
              <w:t>SB18-</w:t>
            </w:r>
            <w:r>
              <w:rPr>
                <w:rFonts w:hint="eastAsia" w:ascii="Times New Roman" w:hAnsi="Times New Roman" w:cs="Times New Roman" w:eastAsiaTheme="minorEastAsia"/>
                <w:spacing w:val="0"/>
                <w:sz w:val="21"/>
                <w:szCs w:val="21"/>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62"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甲苯</w:t>
            </w:r>
          </w:p>
        </w:tc>
        <w:tc>
          <w:tcPr>
            <w:tcW w:w="3111" w:type="dxa"/>
            <w:vMerge w:val="continue"/>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eastAsia="zh-CN"/>
              </w:rPr>
            </w:pPr>
          </w:p>
        </w:tc>
        <w:tc>
          <w:tcPr>
            <w:tcW w:w="1243" w:type="dxa"/>
            <w:vMerge w:val="continue"/>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p>
        </w:tc>
        <w:tc>
          <w:tcPr>
            <w:tcW w:w="2988" w:type="dxa"/>
            <w:vMerge w:val="continue"/>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62"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eastAsia" w:ascii="Times New Roman" w:hAnsi="Times New Roman" w:cs="Times New Roman" w:eastAsiaTheme="minorEastAsia"/>
                <w:spacing w:val="0"/>
                <w:sz w:val="21"/>
                <w:szCs w:val="21"/>
                <w:lang w:val="en-US" w:eastAsia="zh-CN"/>
              </w:rPr>
              <w:t>二甲苯</w:t>
            </w:r>
          </w:p>
        </w:tc>
        <w:tc>
          <w:tcPr>
            <w:tcW w:w="3111" w:type="dxa"/>
            <w:vMerge w:val="continue"/>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eastAsia="zh-CN"/>
              </w:rPr>
            </w:pPr>
          </w:p>
        </w:tc>
        <w:tc>
          <w:tcPr>
            <w:tcW w:w="1243" w:type="dxa"/>
            <w:vMerge w:val="continue"/>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p>
        </w:tc>
        <w:tc>
          <w:tcPr>
            <w:tcW w:w="2988" w:type="dxa"/>
            <w:vMerge w:val="continue"/>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spacing w:val="0"/>
                <w:sz w:val="21"/>
                <w:szCs w:val="21"/>
                <w:lang w:val="en-US" w:eastAsia="zh-CN"/>
              </w:rPr>
            </w:pPr>
          </w:p>
        </w:tc>
      </w:tr>
    </w:tbl>
    <w:p>
      <w:pPr>
        <w:keepNext w:val="0"/>
        <w:keepLines w:val="0"/>
        <w:pageBreakBefore w:val="0"/>
        <w:widowControl w:val="0"/>
        <w:kinsoku/>
        <w:wordWrap/>
        <w:overflowPunct/>
        <w:topLinePunct w:val="0"/>
        <w:autoSpaceDE/>
        <w:autoSpaceDN/>
        <w:bidi w:val="0"/>
        <w:adjustRightInd/>
        <w:snapToGrid/>
        <w:spacing w:beforeLines="50" w:line="400" w:lineRule="atLeast"/>
        <w:jc w:val="center"/>
        <w:textAlignment w:val="auto"/>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 xml:space="preserve"> 厂界噪声检测分析方法及所用仪器</w:t>
      </w:r>
    </w:p>
    <w:tbl>
      <w:tblPr>
        <w:tblStyle w:val="22"/>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33"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544"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b/>
                <w:sz w:val="21"/>
                <w:szCs w:val="21"/>
                <w:lang w:val="en-US" w:eastAsia="zh-CN"/>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133" w:type="dxa"/>
            <w:tcBorders>
              <w:tl2br w:val="nil"/>
              <w:tr2bl w:val="nil"/>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rPr>
              <w:t>厂界噪声</w:t>
            </w:r>
          </w:p>
        </w:tc>
        <w:tc>
          <w:tcPr>
            <w:tcW w:w="3544" w:type="dxa"/>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《工业企业厂界环境噪声排放标准》（GB 12348-2008）</w:t>
            </w:r>
          </w:p>
        </w:tc>
        <w:tc>
          <w:tcPr>
            <w:tcW w:w="3827" w:type="dxa"/>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AWA5688多功能声级计</w:t>
            </w:r>
          </w:p>
          <w:p>
            <w:pPr>
              <w:keepNext w:val="0"/>
              <w:keepLines w:val="0"/>
              <w:suppressLineNumbers w:val="0"/>
              <w:spacing w:before="0" w:beforeAutospacing="0" w:after="0" w:afterAutospacing="0" w:line="240" w:lineRule="auto"/>
              <w:ind w:left="0" w:right="0"/>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SB</w:t>
            </w:r>
            <w:r>
              <w:rPr>
                <w:rFonts w:hint="eastAsia" w:ascii="Times New Roman" w:hAnsi="Times New Roman" w:eastAsia="宋体" w:cs="Times New Roman"/>
                <w:sz w:val="21"/>
                <w:szCs w:val="21"/>
                <w:lang w:val="en-US" w:eastAsia="zh-CN"/>
              </w:rPr>
              <w:t>93-1）</w:t>
            </w:r>
          </w:p>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AWA6021A声校准器</w:t>
            </w:r>
          </w:p>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SB</w:t>
            </w:r>
            <w:r>
              <w:rPr>
                <w:rFonts w:hint="eastAsia" w:ascii="Times New Roman" w:hAnsi="Times New Roman" w:eastAsia="宋体" w:cs="Times New Roman"/>
                <w:sz w:val="21"/>
                <w:szCs w:val="21"/>
                <w:lang w:val="en-US" w:eastAsia="zh-CN"/>
              </w:rPr>
              <w:t>95-5）</w:t>
            </w:r>
          </w:p>
        </w:tc>
      </w:tr>
    </w:tbl>
    <w:p>
      <w:pPr>
        <w:pStyle w:val="5"/>
        <w:spacing w:beforeLines="50" w:afterLines="50"/>
        <w:rPr>
          <w:rFonts w:hint="default" w:ascii="Times New Roman" w:hAnsi="Times New Roman" w:eastAsia="宋体" w:cs="Times New Roman"/>
        </w:rPr>
      </w:pPr>
      <w:bookmarkStart w:id="258" w:name="_Toc29080"/>
      <w:bookmarkStart w:id="259" w:name="_Toc28512"/>
      <w:bookmarkStart w:id="260" w:name="_Toc12330"/>
      <w:bookmarkStart w:id="261" w:name="_Toc19386"/>
      <w:bookmarkStart w:id="262" w:name="_Toc31049"/>
    </w:p>
    <w:p>
      <w:pPr>
        <w:pStyle w:val="5"/>
        <w:spacing w:beforeLines="50" w:afterLines="50"/>
        <w:rPr>
          <w:rFonts w:hint="default" w:ascii="Times New Roman" w:hAnsi="Times New Roman" w:eastAsia="宋体" w:cs="Times New Roman"/>
        </w:rPr>
      </w:pPr>
      <w:r>
        <w:rPr>
          <w:rFonts w:hint="default" w:ascii="Times New Roman" w:hAnsi="Times New Roman" w:eastAsia="宋体" w:cs="Times New Roman"/>
          <w:b/>
          <w:spacing w:val="0"/>
          <w:sz w:val="28"/>
          <w:szCs w:val="28"/>
          <w:highlight w:val="none"/>
          <w:lang w:eastAsia="zh-CN"/>
        </w:rPr>
        <w:pict>
          <v:shape id="_x0000_s2062" o:spid="_x0000_s2062" o:spt="75" type="#_x0000_t75" style="position:absolute;left:0pt;margin-left:-22.45pt;margin-top:31.05pt;height:351.25pt;width:498.55pt;z-index:-2118627328;mso-width-relative:page;mso-height-relative:page;" o:ole="t" filled="f" o:preferrelative="t" stroked="f" coordsize="21600,21600">
            <v:path/>
            <v:fill on="f" focussize="0,0"/>
            <v:stroke on="f"/>
            <v:imagedata r:id="rId22" o:title=""/>
            <o:lock v:ext="edit" aspectratio="f"/>
          </v:shape>
          <o:OLEObject Type="Embed" ProgID="Visio.Drawing.11" ShapeID="_x0000_s2062" DrawAspect="Content" ObjectID="_1468075727" r:id="rId21">
            <o:LockedField>false</o:LockedField>
          </o:OLEObject>
        </w:pict>
      </w:r>
      <w:r>
        <w:rPr>
          <w:rFonts w:hint="default" w:ascii="Times New Roman" w:hAnsi="Times New Roman" w:eastAsia="宋体" w:cs="Times New Roman"/>
        </w:rPr>
        <w:t>6.2.3 检测点位示意图</w:t>
      </w:r>
      <w:bookmarkEnd w:id="258"/>
      <w:bookmarkEnd w:id="259"/>
      <w:bookmarkEnd w:id="260"/>
      <w:bookmarkEnd w:id="261"/>
      <w:bookmarkEnd w:id="262"/>
    </w:p>
    <w:p>
      <w:pPr>
        <w:rPr>
          <w:rFonts w:hint="default" w:ascii="Times New Roman" w:hAnsi="Times New Roman" w:eastAsia="宋体" w:cs="Times New Roman"/>
        </w:rPr>
      </w:pPr>
    </w:p>
    <w:p>
      <w:pPr>
        <w:rPr>
          <w:rFonts w:hint="default" w:ascii="Times New Roman" w:hAnsi="Times New Roman" w:eastAsia="宋体" w:cs="Times New Roman"/>
        </w:rPr>
      </w:pPr>
    </w:p>
    <w:p>
      <w:pPr>
        <w:rPr>
          <w:rFonts w:hint="default" w:ascii="Times New Roman" w:hAnsi="Times New Roman" w:eastAsia="宋体" w:cs="Times New Roman"/>
        </w:rPr>
      </w:pPr>
    </w:p>
    <w:p>
      <w:pPr>
        <w:rPr>
          <w:rFonts w:hint="default" w:ascii="Times New Roman" w:hAnsi="Times New Roman" w:eastAsia="宋体" w:cs="Times New Roman"/>
        </w:rPr>
      </w:pPr>
    </w:p>
    <w:p>
      <w:pPr>
        <w:pStyle w:val="7"/>
        <w:rPr>
          <w:rFonts w:hint="default" w:ascii="Times New Roman" w:hAnsi="Times New Roman" w:eastAsia="宋体" w:cs="Times New Roman"/>
        </w:rPr>
      </w:pPr>
    </w:p>
    <w:p>
      <w:pPr>
        <w:pStyle w:val="7"/>
        <w:rPr>
          <w:rFonts w:hint="default" w:ascii="Times New Roman" w:hAnsi="Times New Roman" w:eastAsia="宋体" w:cs="Times New Roman"/>
        </w:rPr>
      </w:pPr>
    </w:p>
    <w:p>
      <w:pPr>
        <w:pStyle w:val="7"/>
        <w:rPr>
          <w:rFonts w:hint="default" w:ascii="Times New Roman" w:hAnsi="Times New Roman" w:eastAsia="宋体" w:cs="Times New Roman"/>
        </w:rPr>
      </w:pPr>
    </w:p>
    <w:p>
      <w:pPr>
        <w:rPr>
          <w:rFonts w:hint="default" w:ascii="Times New Roman" w:hAnsi="Times New Roman" w:eastAsia="宋体" w:cs="Times New Roman"/>
        </w:rPr>
      </w:pPr>
    </w:p>
    <w:p>
      <w:pPr>
        <w:pStyle w:val="5"/>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63" w:name="_Toc2070"/>
      <w:bookmarkStart w:id="264" w:name="_Toc27299"/>
      <w:bookmarkStart w:id="265" w:name="_Toc14303"/>
    </w:p>
    <w:p>
      <w:pPr>
        <w:pStyle w:val="5"/>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p>
    <w:p>
      <w:pPr>
        <w:rPr>
          <w:rFonts w:hint="default" w:ascii="Times New Roman" w:hAnsi="Times New Roman" w:eastAsia="宋体" w:cs="Times New Roman"/>
        </w:rPr>
      </w:pPr>
    </w:p>
    <w:p>
      <w:pPr>
        <w:pStyle w:val="21"/>
        <w:rPr>
          <w:rFonts w:hint="default" w:ascii="Times New Roman" w:hAnsi="Times New Roman" w:eastAsia="宋体" w:cs="Times New Roman"/>
        </w:rPr>
      </w:pPr>
    </w:p>
    <w:p>
      <w:pPr>
        <w:rPr>
          <w:rFonts w:hint="default" w:ascii="Times New Roman" w:hAnsi="Times New Roman" w:eastAsia="宋体" w:cs="Times New Roman"/>
        </w:rPr>
      </w:pPr>
    </w:p>
    <w:bookmarkEnd w:id="263"/>
    <w:bookmarkEnd w:id="264"/>
    <w:bookmarkEnd w:id="265"/>
    <w:p>
      <w:pPr>
        <w:pStyle w:val="3"/>
        <w:spacing w:line="440" w:lineRule="atLeast"/>
        <w:rPr>
          <w:rFonts w:hint="default" w:ascii="Times New Roman" w:hAnsi="Times New Roman" w:eastAsia="宋体" w:cs="Times New Roman"/>
        </w:rPr>
      </w:pPr>
      <w:bookmarkStart w:id="266" w:name="_Toc19136"/>
      <w:bookmarkStart w:id="267" w:name="_Toc22345"/>
      <w:bookmarkStart w:id="268" w:name="_Toc4189"/>
    </w:p>
    <w:p>
      <w:pPr>
        <w:rPr>
          <w:rFonts w:hint="default" w:ascii="Times New Roman" w:hAnsi="Times New Roman" w:eastAsia="宋体" w:cs="Times New Roman"/>
        </w:rPr>
      </w:pPr>
    </w:p>
    <w:p>
      <w:pPr>
        <w:pStyle w:val="21"/>
        <w:rPr>
          <w:rFonts w:hint="default" w:ascii="Times New Roman" w:hAnsi="Times New Roman" w:eastAsia="宋体" w:cs="Times New Roman"/>
        </w:rPr>
      </w:pPr>
    </w:p>
    <w:p>
      <w:pPr>
        <w:rPr>
          <w:rFonts w:hint="default" w:ascii="Times New Roman" w:hAnsi="Times New Roman" w:eastAsia="宋体" w:cs="Times New Roman"/>
        </w:rPr>
      </w:pPr>
    </w:p>
    <w:p>
      <w:pPr>
        <w:pStyle w:val="21"/>
        <w:rPr>
          <w:rFonts w:hint="default" w:ascii="Times New Roman" w:hAnsi="Times New Roman" w:eastAsia="宋体" w:cs="Times New Roman"/>
        </w:rPr>
      </w:pPr>
    </w:p>
    <w:p>
      <w:pPr>
        <w:rPr>
          <w:rFonts w:hint="default" w:ascii="Times New Roman" w:hAnsi="Times New Roman" w:eastAsia="宋体" w:cs="Times New Roman"/>
        </w:rPr>
      </w:pPr>
      <w:r>
        <w:rPr>
          <w:rFonts w:hint="default" w:ascii="Times New Roman" w:hAnsi="Times New Roman" w:eastAsia="宋体" w:cs="Times New Roman"/>
          <w:b/>
          <w:spacing w:val="0"/>
          <w:sz w:val="28"/>
          <w:szCs w:val="28"/>
          <w:lang w:eastAsia="zh-CN"/>
        </w:rPr>
        <w:pict>
          <v:shape id="_x0000_s2063" o:spid="_x0000_s2063" o:spt="75" type="#_x0000_t75" style="position:absolute;left:0pt;margin-left:-26.7pt;margin-top:0.1pt;height:360.05pt;width:502.25pt;z-index:-2118625280;mso-width-relative:page;mso-height-relative:page;" o:ole="t" filled="f" o:preferrelative="t" stroked="f" coordsize="21600,21600">
            <v:path/>
            <v:fill on="f" focussize="0,0"/>
            <v:stroke on="f"/>
            <v:imagedata r:id="rId24" o:title=""/>
            <o:lock v:ext="edit" aspectratio="f"/>
          </v:shape>
          <o:OLEObject Type="Embed" ProgID="Visio.Drawing.11" ShapeID="_x0000_s2063" DrawAspect="Content" ObjectID="_1468075728" r:id="rId23">
            <o:LockedField>false</o:LockedField>
          </o:OLEObject>
        </w:pict>
      </w:r>
    </w:p>
    <w:p>
      <w:pPr>
        <w:pStyle w:val="21"/>
        <w:rPr>
          <w:rFonts w:hint="default" w:ascii="Times New Roman" w:hAnsi="Times New Roman" w:eastAsia="宋体" w:cs="Times New Roman"/>
        </w:rPr>
      </w:pPr>
    </w:p>
    <w:p>
      <w:pPr>
        <w:rPr>
          <w:rFonts w:hint="default" w:ascii="Times New Roman" w:hAnsi="Times New Roman" w:eastAsia="宋体" w:cs="Times New Roman"/>
        </w:rPr>
      </w:pPr>
    </w:p>
    <w:p>
      <w:pPr>
        <w:pStyle w:val="21"/>
        <w:rPr>
          <w:rFonts w:hint="default" w:ascii="Times New Roman" w:hAnsi="Times New Roman" w:cs="Times New Roman"/>
        </w:rPr>
      </w:pPr>
    </w:p>
    <w:p>
      <w:pPr>
        <w:rPr>
          <w:rFonts w:hint="default" w:ascii="Times New Roman" w:hAnsi="Times New Roman" w:cs="Times New Roman"/>
        </w:rPr>
      </w:pPr>
    </w:p>
    <w:p>
      <w:pPr>
        <w:pStyle w:val="21"/>
        <w:rPr>
          <w:rFonts w:hint="default" w:ascii="Times New Roman" w:hAnsi="Times New Roman" w:cs="Times New Roman"/>
        </w:rPr>
      </w:pPr>
    </w:p>
    <w:p>
      <w:pPr>
        <w:rPr>
          <w:rFonts w:hint="default" w:ascii="Times New Roman" w:hAnsi="Times New Roman" w:cs="Times New Roman"/>
        </w:rPr>
      </w:pPr>
    </w:p>
    <w:p>
      <w:pPr>
        <w:pStyle w:val="21"/>
        <w:rPr>
          <w:rFonts w:hint="default" w:ascii="Times New Roman" w:hAnsi="Times New Roman" w:cs="Times New Roman"/>
        </w:rPr>
      </w:pPr>
    </w:p>
    <w:p>
      <w:pPr>
        <w:rPr>
          <w:rFonts w:hint="default" w:ascii="Times New Roman" w:hAnsi="Times New Roman" w:cs="Times New Roman"/>
        </w:rPr>
      </w:pPr>
    </w:p>
    <w:p>
      <w:pPr>
        <w:pStyle w:val="21"/>
        <w:rPr>
          <w:rFonts w:hint="default" w:ascii="Times New Roman" w:hAnsi="Times New Roman" w:cs="Times New Roman"/>
        </w:rPr>
      </w:pPr>
    </w:p>
    <w:p>
      <w:pPr>
        <w:rPr>
          <w:rFonts w:hint="default" w:ascii="Times New Roman" w:hAnsi="Times New Roman" w:cs="Times New Roman"/>
        </w:rPr>
      </w:pPr>
    </w:p>
    <w:p>
      <w:pPr>
        <w:pStyle w:val="7"/>
        <w:rPr>
          <w:rFonts w:hint="default" w:ascii="Times New Roman" w:hAnsi="Times New Roman" w:cs="Times New Roman"/>
        </w:rPr>
      </w:pPr>
    </w:p>
    <w:p>
      <w:pPr>
        <w:pStyle w:val="8"/>
        <w:rPr>
          <w:rFonts w:hint="default" w:ascii="Times New Roman" w:hAnsi="Times New Roman" w:cs="Times New Roman"/>
        </w:rPr>
      </w:pPr>
    </w:p>
    <w:p>
      <w:pPr>
        <w:pStyle w:val="8"/>
        <w:rPr>
          <w:rFonts w:hint="default" w:ascii="Times New Roman" w:hAnsi="Times New Roman" w:cs="Times New Roman"/>
        </w:rPr>
      </w:pPr>
    </w:p>
    <w:p>
      <w:pPr>
        <w:pStyle w:val="8"/>
        <w:rPr>
          <w:rFonts w:hint="default" w:ascii="Times New Roman" w:hAnsi="Times New Roman" w:cs="Times New Roman"/>
        </w:rPr>
      </w:pPr>
    </w:p>
    <w:p>
      <w:pPr>
        <w:pStyle w:val="8"/>
        <w:rPr>
          <w:rFonts w:hint="default" w:ascii="Times New Roman" w:hAnsi="Times New Roman" w:cs="Times New Roman"/>
        </w:rPr>
      </w:pPr>
    </w:p>
    <w:p>
      <w:pPr>
        <w:pStyle w:val="3"/>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rPr>
      </w:pPr>
      <w:bookmarkStart w:id="269" w:name="_Toc13413"/>
      <w:r>
        <w:rPr>
          <w:rFonts w:hint="default" w:ascii="Times New Roman" w:hAnsi="Times New Roman" w:eastAsia="宋体" w:cs="Times New Roman"/>
        </w:rPr>
        <w:t>7 验收检测结果及分析</w:t>
      </w:r>
      <w:bookmarkEnd w:id="266"/>
      <w:bookmarkEnd w:id="267"/>
      <w:bookmarkEnd w:id="268"/>
      <w:bookmarkEnd w:id="269"/>
    </w:p>
    <w:p>
      <w:pPr>
        <w:pStyle w:val="4"/>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rPr>
      </w:pPr>
      <w:bookmarkStart w:id="270" w:name="_Toc32441"/>
      <w:bookmarkStart w:id="271" w:name="_Toc10665"/>
      <w:bookmarkStart w:id="272" w:name="_Toc11364"/>
      <w:bookmarkStart w:id="273" w:name="_Toc32720"/>
      <w:r>
        <w:rPr>
          <w:rFonts w:hint="default" w:ascii="Times New Roman" w:hAnsi="Times New Roman" w:eastAsia="宋体" w:cs="Times New Roman"/>
        </w:rPr>
        <w:t>7.1 检测结果</w:t>
      </w:r>
      <w:bookmarkEnd w:id="270"/>
      <w:bookmarkEnd w:id="271"/>
      <w:bookmarkEnd w:id="272"/>
      <w:bookmarkEnd w:id="273"/>
    </w:p>
    <w:p>
      <w:pPr>
        <w:pStyle w:val="5"/>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宋体" w:cs="Times New Roman"/>
        </w:rPr>
      </w:pPr>
      <w:bookmarkStart w:id="274" w:name="_Toc19935"/>
      <w:bookmarkStart w:id="275" w:name="_Toc3464"/>
      <w:bookmarkStart w:id="276" w:name="_Toc32125"/>
      <w:bookmarkStart w:id="277" w:name="_Toc6032"/>
      <w:bookmarkStart w:id="278" w:name="_Toc497001488"/>
      <w:bookmarkStart w:id="279" w:name="_Toc8307"/>
      <w:r>
        <w:rPr>
          <w:rFonts w:hint="default" w:ascii="Times New Roman" w:hAnsi="Times New Roman" w:eastAsia="宋体" w:cs="Times New Roman"/>
        </w:rPr>
        <w:t>7.1.1 废气检测结果</w:t>
      </w:r>
      <w:bookmarkEnd w:id="274"/>
      <w:bookmarkEnd w:id="275"/>
      <w:bookmarkEnd w:id="276"/>
      <w:bookmarkEnd w:id="277"/>
      <w:bookmarkEnd w:id="278"/>
      <w:bookmarkEnd w:id="279"/>
    </w:p>
    <w:p>
      <w:pPr>
        <w:pStyle w:val="7"/>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default"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有组织废气检</w:t>
      </w:r>
      <w:r>
        <w:rPr>
          <w:rFonts w:hint="default" w:ascii="Times New Roman" w:hAnsi="Times New Roman" w:eastAsia="宋体" w:cs="Times New Roman"/>
          <w:b/>
          <w:sz w:val="24"/>
          <w:szCs w:val="24"/>
        </w:rPr>
        <w:t>测结果</w:t>
      </w:r>
    </w:p>
    <w:tbl>
      <w:tblPr>
        <w:tblStyle w:val="22"/>
        <w:tblW w:w="935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47"/>
        <w:gridCol w:w="2020"/>
        <w:gridCol w:w="847"/>
        <w:gridCol w:w="727"/>
        <w:gridCol w:w="727"/>
        <w:gridCol w:w="727"/>
        <w:gridCol w:w="727"/>
        <w:gridCol w:w="1490"/>
        <w:gridCol w:w="64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监测点位</w:t>
            </w:r>
          </w:p>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lang w:eastAsia="zh-CN"/>
              </w:rPr>
              <w:t>及</w:t>
            </w:r>
            <w:r>
              <w:rPr>
                <w:rFonts w:hint="default" w:ascii="Times New Roman" w:hAnsi="Times New Roman" w:cs="Times New Roman" w:eastAsiaTheme="minorEastAsia"/>
                <w:b w:val="0"/>
                <w:bCs/>
                <w:color w:val="000000"/>
                <w:kern w:val="0"/>
                <w:sz w:val="21"/>
                <w:szCs w:val="21"/>
              </w:rPr>
              <w:t>时间</w:t>
            </w:r>
          </w:p>
        </w:tc>
        <w:tc>
          <w:tcPr>
            <w:tcW w:w="2020" w:type="dxa"/>
            <w:vMerge w:val="restart"/>
            <w:tcBorders>
              <w:top w:val="single" w:color="auto" w:sz="4" w:space="0"/>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spacing w:val="0"/>
                <w:kern w:val="0"/>
                <w:sz w:val="21"/>
                <w:szCs w:val="21"/>
              </w:rPr>
            </w:pPr>
            <w:r>
              <w:rPr>
                <w:rFonts w:hint="default" w:ascii="Times New Roman" w:hAnsi="Times New Roman" w:cs="Times New Roman" w:eastAsiaTheme="minorEastAsia"/>
                <w:b w:val="0"/>
                <w:bCs/>
                <w:color w:val="000000"/>
                <w:spacing w:val="0"/>
                <w:kern w:val="0"/>
                <w:sz w:val="21"/>
                <w:szCs w:val="21"/>
              </w:rPr>
              <w:t>监测项目</w:t>
            </w:r>
          </w:p>
        </w:tc>
        <w:tc>
          <w:tcPr>
            <w:tcW w:w="847" w:type="dxa"/>
            <w:vMerge w:val="restart"/>
            <w:tcBorders>
              <w:top w:val="single" w:color="auto" w:sz="4" w:space="0"/>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单位</w:t>
            </w:r>
          </w:p>
        </w:tc>
        <w:tc>
          <w:tcPr>
            <w:tcW w:w="2181" w:type="dxa"/>
            <w:gridSpan w:val="3"/>
            <w:tcBorders>
              <w:top w:val="single" w:color="auto" w:sz="4" w:space="0"/>
              <w:bottom w:val="single" w:color="auto" w:sz="4" w:space="0"/>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监测结果</w:t>
            </w:r>
          </w:p>
        </w:tc>
        <w:tc>
          <w:tcPr>
            <w:tcW w:w="727" w:type="dxa"/>
            <w:vMerge w:val="restart"/>
            <w:tcBorders>
              <w:top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均值</w:t>
            </w:r>
          </w:p>
        </w:tc>
        <w:tc>
          <w:tcPr>
            <w:tcW w:w="1490" w:type="dxa"/>
            <w:vMerge w:val="restart"/>
            <w:tcBorders>
              <w:top w:val="single" w:color="auto" w:sz="4" w:space="0"/>
              <w:left w:val="single" w:color="auto" w:sz="4" w:space="0"/>
              <w:right w:val="nil"/>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执行标准号</w:t>
            </w:r>
          </w:p>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及标准值</w:t>
            </w:r>
          </w:p>
        </w:tc>
        <w:tc>
          <w:tcPr>
            <w:tcW w:w="642" w:type="dxa"/>
            <w:vMerge w:val="restart"/>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达标</w:t>
            </w:r>
          </w:p>
          <w:p>
            <w:pPr>
              <w:keepNext w:val="0"/>
              <w:keepLines w:val="0"/>
              <w:pageBreakBefore w:val="0"/>
              <w:widowControl/>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textAlignment w:val="center"/>
              <w:rPr>
                <w:rFonts w:hint="default" w:ascii="Times New Roman" w:hAnsi="Times New Roman" w:cs="Times New Roman" w:eastAsiaTheme="minorEastAsia"/>
                <w:b w:val="0"/>
                <w:bCs/>
                <w:color w:val="000000"/>
                <w:kern w:val="0"/>
                <w:sz w:val="21"/>
                <w:szCs w:val="21"/>
              </w:rPr>
            </w:pPr>
            <w:r>
              <w:rPr>
                <w:rFonts w:hint="default" w:ascii="Times New Roman" w:hAnsi="Times New Roman" w:cs="Times New Roman" w:eastAsiaTheme="minorEastAsia"/>
                <w:b w:val="0"/>
                <w:bCs/>
                <w:color w:val="000000"/>
                <w:kern w:val="0"/>
                <w:sz w:val="21"/>
                <w:szCs w:val="21"/>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0"/>
                <w:sz w:val="21"/>
                <w:szCs w:val="21"/>
              </w:rPr>
            </w:pPr>
          </w:p>
        </w:tc>
        <w:tc>
          <w:tcPr>
            <w:tcW w:w="2020" w:type="dxa"/>
            <w:vMerge w:val="continue"/>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0"/>
                <w:sz w:val="21"/>
                <w:szCs w:val="21"/>
              </w:rPr>
            </w:pPr>
          </w:p>
        </w:tc>
        <w:tc>
          <w:tcPr>
            <w:tcW w:w="847" w:type="dxa"/>
            <w:vMerge w:val="continue"/>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0"/>
                <w:sz w:val="21"/>
                <w:szCs w:val="21"/>
              </w:rPr>
            </w:pPr>
          </w:p>
        </w:tc>
        <w:tc>
          <w:tcPr>
            <w:tcW w:w="727" w:type="dxa"/>
            <w:tcBorders>
              <w:top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0"/>
                <w:sz w:val="21"/>
                <w:szCs w:val="21"/>
              </w:rPr>
            </w:pPr>
            <w:r>
              <w:rPr>
                <w:rFonts w:hint="default" w:ascii="Times New Roman" w:hAnsi="Times New Roman" w:cs="Times New Roman" w:eastAsiaTheme="minorEastAsia"/>
                <w:b w:val="0"/>
                <w:bCs/>
                <w:spacing w:val="-10"/>
                <w:sz w:val="21"/>
                <w:szCs w:val="21"/>
              </w:rPr>
              <w:t>1</w:t>
            </w:r>
          </w:p>
        </w:tc>
        <w:tc>
          <w:tcPr>
            <w:tcW w:w="727" w:type="dxa"/>
            <w:tcBorders>
              <w:top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0"/>
                <w:sz w:val="21"/>
                <w:szCs w:val="21"/>
              </w:rPr>
            </w:pPr>
            <w:r>
              <w:rPr>
                <w:rFonts w:hint="default" w:ascii="Times New Roman" w:hAnsi="Times New Roman" w:cs="Times New Roman" w:eastAsiaTheme="minorEastAsia"/>
                <w:b w:val="0"/>
                <w:bCs/>
                <w:spacing w:val="-10"/>
                <w:sz w:val="21"/>
                <w:szCs w:val="21"/>
              </w:rPr>
              <w:t>2</w:t>
            </w:r>
          </w:p>
        </w:tc>
        <w:tc>
          <w:tcPr>
            <w:tcW w:w="727" w:type="dxa"/>
            <w:tcBorders>
              <w:top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0"/>
                <w:sz w:val="21"/>
                <w:szCs w:val="21"/>
              </w:rPr>
            </w:pPr>
            <w:r>
              <w:rPr>
                <w:rFonts w:hint="default" w:ascii="Times New Roman" w:hAnsi="Times New Roman" w:cs="Times New Roman" w:eastAsiaTheme="minorEastAsia"/>
                <w:b w:val="0"/>
                <w:bCs/>
                <w:spacing w:val="-10"/>
                <w:sz w:val="21"/>
                <w:szCs w:val="21"/>
              </w:rPr>
              <w:t>3</w:t>
            </w:r>
          </w:p>
        </w:tc>
        <w:tc>
          <w:tcPr>
            <w:tcW w:w="727" w:type="dxa"/>
            <w:vMerge w:val="continue"/>
            <w:tcBorders>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0"/>
                <w:sz w:val="21"/>
                <w:szCs w:val="21"/>
              </w:rPr>
            </w:pPr>
          </w:p>
        </w:tc>
        <w:tc>
          <w:tcPr>
            <w:tcW w:w="1490" w:type="dxa"/>
            <w:vMerge w:val="continue"/>
            <w:tcBorders>
              <w:left w:val="single" w:color="auto" w:sz="4" w:space="0"/>
              <w:right w:val="nil"/>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4"/>
                <w:sz w:val="21"/>
                <w:szCs w:val="21"/>
              </w:rPr>
            </w:pPr>
          </w:p>
        </w:tc>
        <w:tc>
          <w:tcPr>
            <w:tcW w:w="642" w:type="dxa"/>
            <w:vMerge w:val="continue"/>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b w:val="0"/>
                <w:bCs/>
                <w:spacing w:val="-12"/>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喷漆烘烤工序废气处理设施进口</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color w:val="auto"/>
                <w:spacing w:val="0"/>
                <w:sz w:val="21"/>
                <w:szCs w:val="21"/>
                <w:lang w:val="en-US" w:eastAsia="zh-CN"/>
              </w:rPr>
              <w:t>2020.08.24</w:t>
            </w: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eastAsia="zh-CN"/>
              </w:rPr>
            </w:pPr>
            <w:r>
              <w:rPr>
                <w:rFonts w:hint="default" w:ascii="Times New Roman" w:hAnsi="Times New Roman" w:eastAsia="宋体" w:cs="Times New Roman"/>
                <w:spacing w:val="0"/>
                <w:sz w:val="21"/>
                <w:szCs w:val="21"/>
              </w:rPr>
              <w:t>标干流量</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5348</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5186</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5122</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5219</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sz w:val="21"/>
                <w:szCs w:val="21"/>
                <w:highlight w:val="none"/>
                <w:lang w:eastAsia="zh-CN"/>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highlight w:val="none"/>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p>
        </w:tc>
        <w:tc>
          <w:tcPr>
            <w:tcW w:w="2020" w:type="dxa"/>
            <w:tcBorders>
              <w:bottom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非甲烷总烃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（以碳计）浓度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4.40</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4.42</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4.47</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4.43</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sz w:val="21"/>
                <w:szCs w:val="21"/>
                <w:highlight w:val="none"/>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highlight w:val="none"/>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喷漆烘烤工序废气处理设施出口（15m）</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color w:val="auto"/>
                <w:spacing w:val="0"/>
                <w:sz w:val="21"/>
                <w:szCs w:val="21"/>
                <w:lang w:val="en-US" w:eastAsia="zh-CN"/>
              </w:rPr>
              <w:t>2020.08.24</w:t>
            </w:r>
          </w:p>
        </w:tc>
        <w:tc>
          <w:tcPr>
            <w:tcW w:w="2020" w:type="dxa"/>
            <w:tcBorders>
              <w:top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eastAsia="宋体" w:cs="Times New Roman"/>
                <w:spacing w:val="0"/>
                <w:sz w:val="21"/>
                <w:szCs w:val="21"/>
              </w:rPr>
              <w:t>标干流量</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6003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6138</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6028</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6056</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sz w:val="21"/>
                <w:szCs w:val="21"/>
                <w:highlight w:val="none"/>
                <w:lang w:val="en-US" w:eastAsia="zh-CN"/>
              </w:rPr>
            </w:pPr>
            <w:r>
              <w:rPr>
                <w:rFonts w:hint="default" w:ascii="Times New Roman" w:hAnsi="Times New Roman" w:cs="Times New Roman" w:eastAsiaTheme="minorEastAsia"/>
                <w:b w:val="0"/>
                <w:bCs/>
                <w:color w:val="auto"/>
                <w:spacing w:val="0"/>
                <w:sz w:val="21"/>
                <w:szCs w:val="21"/>
                <w:highlight w:val="none"/>
                <w:lang w:val="en-US" w:eastAsia="zh-CN"/>
              </w:rPr>
              <w:t>DB13/2322-2016</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highlight w:val="none"/>
                <w:lang w:val="en-US" w:eastAsia="zh-CN"/>
              </w:rPr>
            </w:pPr>
            <w:r>
              <w:rPr>
                <w:rFonts w:hint="default" w:ascii="Times New Roman" w:hAnsi="Times New Roman" w:cs="Times New Roman" w:eastAsiaTheme="minorEastAsia"/>
                <w:b w:val="0"/>
                <w:bCs/>
                <w:color w:val="auto"/>
                <w:kern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highlight w:val="none"/>
                <w:lang w:val="en-US" w:eastAsia="zh-CN"/>
              </w:rPr>
            </w:pPr>
          </w:p>
        </w:tc>
        <w:tc>
          <w:tcPr>
            <w:tcW w:w="2020" w:type="dxa"/>
            <w:tcBorders>
              <w:top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cs="Times New Roman"/>
                <w:spacing w:val="0"/>
                <w:sz w:val="21"/>
                <w:szCs w:val="21"/>
                <w:lang w:eastAsia="zh-CN"/>
              </w:rPr>
              <w:t>颗粒物浓度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1.2</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1.4</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1.1</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1.2</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GB 16297-1996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18</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highlight w:val="none"/>
                <w:lang w:val="en-US" w:eastAsia="zh-CN"/>
              </w:rPr>
            </w:pPr>
          </w:p>
        </w:tc>
        <w:tc>
          <w:tcPr>
            <w:tcW w:w="2020" w:type="dxa"/>
            <w:tcBorders>
              <w:top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cs="Times New Roman"/>
                <w:spacing w:val="0"/>
                <w:sz w:val="21"/>
                <w:szCs w:val="21"/>
                <w:lang w:eastAsia="zh-CN"/>
              </w:rPr>
              <w:t>颗粒物排放速率</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0.007</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0.009</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0.007</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0.008</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GB 16297-1996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0.51</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highlight w:val="none"/>
                <w:lang w:val="en-US" w:eastAsia="zh-CN"/>
              </w:rPr>
            </w:pPr>
          </w:p>
        </w:tc>
        <w:tc>
          <w:tcPr>
            <w:tcW w:w="2020" w:type="dxa"/>
            <w:tcBorders>
              <w:top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r>
              <w:rPr>
                <w:rFonts w:hint="default" w:ascii="Times New Roman" w:hAnsi="Times New Roman" w:cs="Times New Roman"/>
                <w:spacing w:val="0"/>
                <w:sz w:val="21"/>
                <w:szCs w:val="21"/>
                <w:lang w:eastAsia="zh-CN"/>
              </w:rPr>
              <w:t>苯</w:t>
            </w:r>
            <w:r>
              <w:rPr>
                <w:rFonts w:hint="default" w:ascii="Times New Roman" w:hAnsi="Times New Roman" w:cs="Times New Roman"/>
                <w:color w:val="auto"/>
                <w:spacing w:val="0"/>
                <w:sz w:val="21"/>
                <w:szCs w:val="21"/>
                <w:lang w:eastAsia="zh-CN"/>
              </w:rPr>
              <w:t>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1</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kern w:val="0"/>
                <w:sz w:val="21"/>
                <w:szCs w:val="21"/>
                <w:highlight w:val="none"/>
                <w:lang w:eastAsia="zh-CN"/>
              </w:rPr>
            </w:pPr>
            <w:r>
              <w:rPr>
                <w:rFonts w:hint="default" w:ascii="Times New Roman" w:hAnsi="Times New Roman" w:cs="Times New Roman"/>
                <w:b w:val="0"/>
                <w:bCs/>
                <w:color w:val="auto"/>
                <w:kern w:val="0"/>
                <w:sz w:val="21"/>
                <w:szCs w:val="21"/>
                <w:highlight w:val="none"/>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甲苯浓度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二甲苯浓度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甲苯</w:t>
            </w:r>
            <w:r>
              <w:rPr>
                <w:rFonts w:hint="default" w:ascii="Times New Roman" w:hAnsi="Times New Roman" w:cs="Times New Roman"/>
                <w:color w:val="auto"/>
                <w:spacing w:val="0"/>
                <w:sz w:val="21"/>
                <w:szCs w:val="21"/>
                <w:lang w:val="en-US" w:eastAsia="zh-CN"/>
              </w:rPr>
              <w:t>+二甲苯浓度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color w:val="auto"/>
                <w:spacing w:val="0"/>
                <w:sz w:val="21"/>
                <w:szCs w:val="21"/>
                <w:highlight w:val="none"/>
                <w:lang w:val="en-US" w:eastAsia="zh-CN"/>
              </w:rPr>
              <w:t>20</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非甲烷总烃</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（以碳计）浓度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1.52</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1.54</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1.55</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1.54</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color w:val="auto"/>
                <w:spacing w:val="0"/>
                <w:sz w:val="21"/>
                <w:szCs w:val="21"/>
                <w:highlight w:val="none"/>
                <w:lang w:val="en-US" w:eastAsia="zh-CN"/>
              </w:rPr>
              <w:t>60</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eastAsia="zh-CN"/>
              </w:rPr>
            </w:pPr>
            <w:r>
              <w:rPr>
                <w:rFonts w:hint="default" w:ascii="Times New Roman" w:hAnsi="Times New Roman" w:cs="Times New Roman"/>
                <w:color w:val="auto"/>
                <w:spacing w:val="0"/>
                <w:sz w:val="21"/>
                <w:szCs w:val="21"/>
                <w:lang w:eastAsia="zh-CN"/>
              </w:rPr>
              <w:t>非甲烷总烃去除效率</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rPr>
            </w:pPr>
            <w:r>
              <w:rPr>
                <w:rFonts w:hint="default" w:ascii="Times New Roman" w:hAnsi="Times New Roman" w:cs="Times New Roman"/>
                <w:color w:val="auto"/>
                <w:spacing w:val="0"/>
                <w:sz w:val="21"/>
                <w:szCs w:val="21"/>
                <w:lang w:val="en-US" w:eastAsia="zh-CN"/>
              </w:rPr>
              <w:t>%</w:t>
            </w:r>
          </w:p>
        </w:tc>
        <w:tc>
          <w:tcPr>
            <w:tcW w:w="2908" w:type="dxa"/>
            <w:gridSpan w:val="4"/>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59.7</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70</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eastAsia" w:ascii="Times New Roman" w:hAnsi="Times New Roman" w:cs="Times New Roman" w:eastAsiaTheme="minorEastAsia"/>
                <w:b w:val="0"/>
                <w:bCs/>
                <w:color w:val="auto"/>
                <w:kern w:val="0"/>
                <w:sz w:val="21"/>
                <w:szCs w:val="21"/>
                <w:highlight w:val="none"/>
                <w:lang w:eastAsia="zh-CN"/>
              </w:rPr>
            </w:pPr>
            <w:r>
              <w:rPr>
                <w:rFonts w:hint="eastAsia" w:ascii="Times New Roman" w:hAnsi="Times New Roman" w:cs="Times New Roman"/>
                <w:b w:val="0"/>
                <w:bCs/>
                <w:color w:val="auto"/>
                <w:kern w:val="0"/>
                <w:sz w:val="21"/>
                <w:szCs w:val="21"/>
                <w:highlight w:val="none"/>
                <w:lang w:eastAsia="zh-CN"/>
              </w:rPr>
              <w:t>不达标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喷漆烘烤工序废气处理设施进口</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color w:val="auto"/>
                <w:spacing w:val="0"/>
                <w:sz w:val="21"/>
                <w:szCs w:val="21"/>
                <w:lang w:val="en-US" w:eastAsia="zh-CN"/>
              </w:rPr>
              <w:t>2020.08.25</w:t>
            </w: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spacing w:val="0"/>
                <w:sz w:val="21"/>
                <w:szCs w:val="21"/>
              </w:rPr>
              <w:t>标干流量</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5416</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5261</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5185</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5287</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kern w:val="2"/>
                <w:sz w:val="21"/>
                <w:szCs w:val="21"/>
                <w:highlight w:val="none"/>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highlight w:val="none"/>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非甲烷总烃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（以碳计）浓度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4.27</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4.34</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4.35</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4.32</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kern w:val="2"/>
                <w:sz w:val="21"/>
                <w:szCs w:val="21"/>
                <w:highlight w:val="none"/>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highlight w:val="none"/>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restart"/>
            <w:tcBorders>
              <w:top w:val="single" w:color="auto" w:sz="4" w:space="0"/>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喷漆烘烤工序废气处理设施出口（15m）</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color w:val="auto"/>
                <w:spacing w:val="0"/>
                <w:sz w:val="21"/>
                <w:szCs w:val="21"/>
                <w:lang w:val="en-US" w:eastAsia="zh-CN"/>
              </w:rPr>
              <w:t>2020.08.25</w:t>
            </w: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eastAsia="宋体" w:cs="Times New Roman"/>
                <w:spacing w:val="0"/>
                <w:sz w:val="21"/>
                <w:szCs w:val="21"/>
              </w:rPr>
              <w:t>标干流量</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eastAsia="宋体" w:cs="Times New Roman"/>
                <w:spacing w:val="0"/>
                <w:sz w:val="21"/>
                <w:szCs w:val="21"/>
              </w:rPr>
              <w:t>m</w:t>
            </w:r>
            <w:r>
              <w:rPr>
                <w:rFonts w:hint="default" w:ascii="Times New Roman" w:hAnsi="Times New Roman" w:eastAsia="宋体" w:cs="Times New Roman"/>
                <w:spacing w:val="0"/>
                <w:sz w:val="21"/>
                <w:szCs w:val="21"/>
                <w:vertAlign w:val="superscript"/>
              </w:rPr>
              <w:t>3</w:t>
            </w:r>
            <w:r>
              <w:rPr>
                <w:rFonts w:hint="default" w:ascii="Times New Roman" w:hAnsi="Times New Roman" w:eastAsia="宋体" w:cs="Times New Roman"/>
                <w:spacing w:val="0"/>
                <w:sz w:val="21"/>
                <w:szCs w:val="21"/>
              </w:rPr>
              <w:t>/h</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6074</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5969</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6024</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6022</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kern w:val="2"/>
                <w:sz w:val="21"/>
                <w:szCs w:val="21"/>
                <w:highlight w:val="none"/>
                <w:lang w:val="en-US" w:eastAsia="zh-CN" w:bidi="ar-SA"/>
              </w:rPr>
            </w:pPr>
            <w:r>
              <w:rPr>
                <w:rFonts w:hint="default" w:ascii="Times New Roman" w:hAnsi="Times New Roman" w:cs="Times New Roman" w:eastAsiaTheme="minorEastAsia"/>
                <w:b w:val="0"/>
                <w:bCs/>
                <w:color w:val="auto"/>
                <w:spacing w:val="0"/>
                <w:sz w:val="21"/>
                <w:szCs w:val="21"/>
                <w:highlight w:val="none"/>
                <w:lang w:val="en-US" w:eastAsia="zh-CN"/>
              </w:rPr>
              <w:t>DB13/2322-2016</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highlight w:val="none"/>
                <w:lang w:val="en-US" w:eastAsia="zh-CN" w:bidi="ar-SA"/>
              </w:rPr>
            </w:pPr>
            <w:r>
              <w:rPr>
                <w:rFonts w:hint="default" w:ascii="Times New Roman" w:hAnsi="Times New Roman" w:cs="Times New Roman" w:eastAsiaTheme="minorEastAsia"/>
                <w:b w:val="0"/>
                <w:bCs/>
                <w:color w:val="auto"/>
                <w:kern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cs="Times New Roman"/>
                <w:spacing w:val="0"/>
                <w:sz w:val="21"/>
                <w:szCs w:val="21"/>
                <w:lang w:eastAsia="zh-CN"/>
              </w:rPr>
              <w:t>颗粒物浓度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eastAsia="宋体" w:cs="Times New Roman"/>
                <w:spacing w:val="0"/>
                <w:sz w:val="21"/>
                <w:szCs w:val="21"/>
              </w:rPr>
              <w:t>mg/m</w:t>
            </w:r>
            <w:r>
              <w:rPr>
                <w:rFonts w:hint="default" w:ascii="Times New Roman" w:hAnsi="Times New Roman" w:eastAsia="宋体" w:cs="Times New Roman"/>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1.2</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1.3</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GB 16297-1996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kern w:val="2"/>
                <w:sz w:val="21"/>
                <w:szCs w:val="21"/>
                <w:highlight w:val="none"/>
                <w:lang w:val="en-US" w:eastAsia="zh-CN" w:bidi="ar-SA"/>
              </w:rPr>
            </w:pPr>
            <w:r>
              <w:rPr>
                <w:rFonts w:hint="default" w:ascii="Times New Roman" w:hAnsi="Times New Roman" w:cs="Times New Roman"/>
                <w:b w:val="0"/>
                <w:bCs/>
                <w:color w:val="auto"/>
                <w:spacing w:val="0"/>
                <w:sz w:val="21"/>
                <w:szCs w:val="21"/>
                <w:highlight w:val="none"/>
                <w:lang w:val="en-US" w:eastAsia="zh-CN"/>
              </w:rPr>
              <w:t>18</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cs="Times New Roman"/>
                <w:spacing w:val="0"/>
                <w:sz w:val="21"/>
                <w:szCs w:val="21"/>
                <w:lang w:eastAsia="zh-CN"/>
              </w:rPr>
              <w:t>颗粒物排放速率</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bCs/>
                <w:spacing w:val="0"/>
                <w:kern w:val="2"/>
                <w:sz w:val="21"/>
                <w:szCs w:val="21"/>
                <w:lang w:val="en-US" w:eastAsia="zh-CN" w:bidi="ar-SA"/>
              </w:rPr>
            </w:pPr>
            <w:r>
              <w:rPr>
                <w:rFonts w:hint="default" w:ascii="Times New Roman" w:hAnsi="Times New Roman" w:eastAsia="宋体" w:cs="Times New Roman"/>
                <w:spacing w:val="0"/>
                <w:sz w:val="21"/>
                <w:szCs w:val="21"/>
                <w:lang w:val="en-US" w:eastAsia="zh-CN"/>
              </w:rPr>
              <w:t>k</w:t>
            </w:r>
            <w:r>
              <w:rPr>
                <w:rFonts w:hint="default" w:ascii="Times New Roman" w:hAnsi="Times New Roman" w:eastAsia="宋体" w:cs="Times New Roman"/>
                <w:spacing w:val="0"/>
                <w:sz w:val="21"/>
                <w:szCs w:val="21"/>
              </w:rPr>
              <w:t>g/</w:t>
            </w:r>
            <w:r>
              <w:rPr>
                <w:rFonts w:hint="default" w:ascii="Times New Roman" w:hAnsi="Times New Roman" w:eastAsia="宋体" w:cs="Times New Roman"/>
                <w:spacing w:val="0"/>
                <w:sz w:val="21"/>
                <w:szCs w:val="21"/>
                <w:lang w:val="en-US" w:eastAsia="zh-CN"/>
              </w:rPr>
              <w:t>h</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0.008</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0.009</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0.007</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0.008</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b w:val="0"/>
                <w:bCs/>
                <w:color w:val="auto"/>
                <w:spacing w:val="0"/>
                <w:sz w:val="21"/>
                <w:szCs w:val="21"/>
                <w:highlight w:val="none"/>
                <w:lang w:val="en-US" w:eastAsia="zh-CN"/>
              </w:rPr>
              <w:t>GB 16297-1996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kern w:val="2"/>
                <w:sz w:val="21"/>
                <w:szCs w:val="21"/>
                <w:highlight w:val="none"/>
                <w:lang w:val="en-US" w:eastAsia="zh-CN" w:bidi="ar-SA"/>
              </w:rPr>
            </w:pPr>
            <w:r>
              <w:rPr>
                <w:rFonts w:hint="default" w:ascii="Times New Roman" w:hAnsi="Times New Roman" w:cs="Times New Roman"/>
                <w:b w:val="0"/>
                <w:bCs/>
                <w:color w:val="auto"/>
                <w:spacing w:val="0"/>
                <w:sz w:val="21"/>
                <w:szCs w:val="21"/>
                <w:highlight w:val="none"/>
                <w:lang w:val="en-US" w:eastAsia="zh-CN"/>
              </w:rPr>
              <w:t>0.51</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spacing w:val="0"/>
                <w:sz w:val="21"/>
                <w:szCs w:val="21"/>
                <w:lang w:eastAsia="zh-CN"/>
              </w:rPr>
              <w:t>苯</w:t>
            </w:r>
            <w:r>
              <w:rPr>
                <w:rFonts w:hint="default" w:ascii="Times New Roman" w:hAnsi="Times New Roman" w:cs="Times New Roman"/>
                <w:color w:val="auto"/>
                <w:spacing w:val="0"/>
                <w:sz w:val="21"/>
                <w:szCs w:val="21"/>
                <w:lang w:eastAsia="zh-CN"/>
              </w:rPr>
              <w:t>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spacing w:val="0"/>
                <w:kern w:val="2"/>
                <w:sz w:val="21"/>
                <w:szCs w:val="21"/>
                <w:highlight w:val="none"/>
                <w:lang w:val="en-US" w:eastAsia="zh-CN" w:bidi="ar-SA"/>
              </w:rPr>
            </w:pPr>
            <w:r>
              <w:rPr>
                <w:rFonts w:hint="default" w:ascii="Times New Roman" w:hAnsi="Times New Roman" w:cs="Times New Roman"/>
                <w:b w:val="0"/>
                <w:bCs/>
                <w:color w:val="auto"/>
                <w:spacing w:val="0"/>
                <w:sz w:val="21"/>
                <w:szCs w:val="21"/>
                <w:highlight w:val="none"/>
                <w:lang w:val="en-US" w:eastAsia="zh-CN"/>
              </w:rPr>
              <w:t>1</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kern w:val="0"/>
                <w:sz w:val="21"/>
                <w:szCs w:val="21"/>
                <w:highlight w:val="none"/>
                <w:lang w:val="en-US" w:eastAsia="zh-CN" w:bidi="ar-SA"/>
              </w:rPr>
            </w:pPr>
            <w:r>
              <w:rPr>
                <w:rFonts w:hint="default" w:ascii="Times New Roman" w:hAnsi="Times New Roman" w:cs="Times New Roman"/>
                <w:b w:val="0"/>
                <w:bCs/>
                <w:color w:val="auto"/>
                <w:kern w:val="0"/>
                <w:sz w:val="21"/>
                <w:szCs w:val="21"/>
                <w:highlight w:val="none"/>
                <w:lang w:eastAsia="zh-CN"/>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甲苯浓度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二甲苯浓度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highlight w:val="none"/>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甲苯</w:t>
            </w:r>
            <w:r>
              <w:rPr>
                <w:rFonts w:hint="default" w:ascii="Times New Roman" w:hAnsi="Times New Roman" w:cs="Times New Roman"/>
                <w:color w:val="auto"/>
                <w:spacing w:val="0"/>
                <w:sz w:val="21"/>
                <w:szCs w:val="21"/>
                <w:lang w:val="en-US" w:eastAsia="zh-CN"/>
              </w:rPr>
              <w:t>+二甲苯浓度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ND</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highlight w:val="none"/>
                <w:lang w:val="en-US" w:eastAsia="zh-CN"/>
              </w:rPr>
              <w:t>20</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非甲烷总烃</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lang w:eastAsia="zh-CN"/>
              </w:rPr>
              <w:t>（以碳计）浓度</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color w:val="auto"/>
                <w:spacing w:val="0"/>
                <w:sz w:val="21"/>
                <w:szCs w:val="21"/>
              </w:rPr>
              <w:t>mg/m</w:t>
            </w:r>
            <w:r>
              <w:rPr>
                <w:rFonts w:hint="default" w:ascii="Times New Roman" w:hAnsi="Times New Roman" w:cs="Times New Roman"/>
                <w:color w:val="auto"/>
                <w:spacing w:val="0"/>
                <w:sz w:val="21"/>
                <w:szCs w:val="21"/>
                <w:vertAlign w:val="superscript"/>
              </w:rPr>
              <w:t>3</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1.60</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1.57</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1.56</w:t>
            </w:r>
          </w:p>
        </w:tc>
        <w:tc>
          <w:tcPr>
            <w:tcW w:w="727" w:type="dxa"/>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b w:val="0"/>
                <w:bCs/>
                <w:color w:val="auto"/>
                <w:spacing w:val="0"/>
                <w:sz w:val="21"/>
                <w:szCs w:val="21"/>
                <w:highlight w:val="none"/>
                <w:lang w:val="en-US" w:eastAsia="zh-CN"/>
              </w:rPr>
            </w:pPr>
            <w:r>
              <w:rPr>
                <w:rFonts w:hint="default" w:ascii="Times New Roman" w:hAnsi="Times New Roman" w:cs="Times New Roman"/>
                <w:spacing w:val="0"/>
                <w:sz w:val="21"/>
                <w:szCs w:val="21"/>
                <w:lang w:val="en-US" w:eastAsia="zh-CN"/>
              </w:rPr>
              <w:t>1.58</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highlight w:val="none"/>
                <w:lang w:val="en-US" w:eastAsia="zh-CN"/>
              </w:rPr>
              <w:t>60</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b w:val="0"/>
                <w:bCs/>
                <w:color w:val="auto"/>
                <w:kern w:val="0"/>
                <w:sz w:val="21"/>
                <w:szCs w:val="21"/>
                <w:highlight w:val="none"/>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color w:val="auto"/>
                <w:spacing w:val="0"/>
                <w:sz w:val="21"/>
                <w:szCs w:val="21"/>
                <w:lang w:eastAsia="zh-CN"/>
              </w:rPr>
              <w:t>非甲烷总烃去除效率</w:t>
            </w:r>
          </w:p>
        </w:tc>
        <w:tc>
          <w:tcPr>
            <w:tcW w:w="847"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rPr>
            </w:pPr>
            <w:r>
              <w:rPr>
                <w:rFonts w:hint="default" w:ascii="Times New Roman" w:hAnsi="Times New Roman" w:cs="Times New Roman"/>
                <w:color w:val="auto"/>
                <w:spacing w:val="0"/>
                <w:sz w:val="21"/>
                <w:szCs w:val="21"/>
                <w:lang w:val="en-US" w:eastAsia="zh-CN"/>
              </w:rPr>
              <w:t>%</w:t>
            </w:r>
          </w:p>
        </w:tc>
        <w:tc>
          <w:tcPr>
            <w:tcW w:w="2908" w:type="dxa"/>
            <w:gridSpan w:val="4"/>
            <w:tcBorders>
              <w:top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58.4</w:t>
            </w:r>
          </w:p>
        </w:tc>
        <w:tc>
          <w:tcPr>
            <w:tcW w:w="1490" w:type="dxa"/>
            <w:tcBorders>
              <w:left w:val="single" w:color="auto" w:sz="4" w:space="0"/>
              <w:right w:val="nil"/>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highlight w:val="none"/>
                <w:lang w:val="en-US" w:eastAsia="zh-CN"/>
              </w:rPr>
            </w:pPr>
            <w:r>
              <w:rPr>
                <w:rFonts w:hint="eastAsia" w:ascii="Times New Roman" w:hAnsi="Times New Roman" w:cs="Times New Roman"/>
                <w:color w:val="auto"/>
                <w:spacing w:val="0"/>
                <w:sz w:val="21"/>
                <w:szCs w:val="21"/>
                <w:highlight w:val="none"/>
                <w:lang w:val="en-US" w:eastAsia="zh-CN"/>
              </w:rPr>
              <w:t>70</w:t>
            </w:r>
          </w:p>
        </w:tc>
        <w:tc>
          <w:tcPr>
            <w:tcW w:w="642" w:type="dxa"/>
            <w:tcBorders>
              <w:left w:val="single" w:color="auto" w:sz="4" w:space="0"/>
              <w:righ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b w:val="0"/>
                <w:bCs/>
                <w:color w:val="auto"/>
                <w:kern w:val="0"/>
                <w:sz w:val="21"/>
                <w:szCs w:val="21"/>
                <w:highlight w:val="none"/>
              </w:rPr>
            </w:pPr>
            <w:r>
              <w:rPr>
                <w:rFonts w:hint="eastAsia" w:ascii="Times New Roman" w:hAnsi="Times New Roman" w:cs="Times New Roman"/>
                <w:b w:val="0"/>
                <w:bCs/>
                <w:color w:val="auto"/>
                <w:kern w:val="0"/>
                <w:sz w:val="21"/>
                <w:szCs w:val="21"/>
                <w:highlight w:val="none"/>
                <w:lang w:eastAsia="zh-CN"/>
              </w:rPr>
              <w:t>不达标</w:t>
            </w:r>
          </w:p>
        </w:tc>
      </w:tr>
    </w:tbl>
    <w:p/>
    <w:p>
      <w:pPr>
        <w:rPr>
          <w:rFonts w:hint="eastAsia" w:asciiTheme="minorHAnsi" w:hAnsiTheme="minorHAnsi" w:eastAsiaTheme="minorEastAsia" w:cstheme="minorBidi"/>
          <w:lang w:eastAsia="zh-CN"/>
        </w:rPr>
      </w:pPr>
      <w:r>
        <w:rPr>
          <w:rFonts w:hint="eastAsia" w:asciiTheme="minorHAnsi" w:hAnsiTheme="minorHAnsi" w:eastAsiaTheme="minorEastAsia" w:cstheme="minorBidi"/>
          <w:lang w:eastAsia="zh-CN"/>
        </w:rPr>
        <w:t>续上表</w:t>
      </w:r>
    </w:p>
    <w:tbl>
      <w:tblPr>
        <w:tblStyle w:val="22"/>
        <w:tblW w:w="935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447"/>
        <w:gridCol w:w="2020"/>
        <w:gridCol w:w="847"/>
        <w:gridCol w:w="504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restart"/>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val="en-US" w:eastAsia="zh-CN"/>
              </w:rPr>
            </w:pPr>
            <w:r>
              <w:rPr>
                <w:rFonts w:hint="default" w:ascii="Times New Roman" w:hAnsi="Times New Roman" w:cs="Times New Roman" w:eastAsiaTheme="minorEastAsia"/>
                <w:spacing w:val="0"/>
                <w:sz w:val="21"/>
                <w:szCs w:val="21"/>
                <w:lang w:val="en-US" w:eastAsia="zh-CN"/>
              </w:rPr>
              <w:t>主要污染物年</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r>
              <w:rPr>
                <w:rFonts w:hint="default" w:ascii="Times New Roman" w:hAnsi="Times New Roman" w:cs="Times New Roman" w:eastAsiaTheme="minorEastAsia"/>
                <w:spacing w:val="0"/>
                <w:sz w:val="21"/>
                <w:szCs w:val="21"/>
                <w:lang w:val="en-US" w:eastAsia="zh-CN"/>
              </w:rPr>
              <w:t>排放量</w:t>
            </w:r>
          </w:p>
        </w:tc>
        <w:tc>
          <w:tcPr>
            <w:tcW w:w="2020" w:type="dxa"/>
            <w:tcMar>
              <w:top w:w="0" w:type="dxa"/>
              <w:left w:w="0" w:type="dxa"/>
              <w:bottom w:w="0" w:type="dxa"/>
              <w:right w:w="0"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spacing w:val="0"/>
                <w:kern w:val="2"/>
                <w:sz w:val="21"/>
                <w:szCs w:val="21"/>
                <w:highlight w:val="none"/>
                <w:lang w:val="en-US" w:eastAsia="zh-CN" w:bidi="ar-SA"/>
              </w:rPr>
            </w:pPr>
            <w:r>
              <w:rPr>
                <w:rFonts w:hint="default" w:ascii="Times New Roman" w:hAnsi="Times New Roman" w:cs="Times New Roman" w:eastAsiaTheme="minorEastAsia"/>
                <w:sz w:val="21"/>
                <w:szCs w:val="21"/>
                <w:highlight w:val="none"/>
              </w:rPr>
              <w:t>排气量</w:t>
            </w:r>
          </w:p>
        </w:tc>
        <w:tc>
          <w:tcPr>
            <w:tcW w:w="847" w:type="dxa"/>
            <w:tcMar>
              <w:top w:w="0" w:type="dxa"/>
              <w:left w:w="0" w:type="dxa"/>
              <w:bottom w:w="0" w:type="dxa"/>
              <w:right w:w="0" w:type="dxa"/>
            </w:tcMar>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eastAsiaTheme="minorEastAsia"/>
                <w:spacing w:val="0"/>
                <w:kern w:val="2"/>
                <w:sz w:val="21"/>
                <w:szCs w:val="21"/>
                <w:highlight w:val="none"/>
                <w:lang w:val="en-US" w:eastAsia="zh-CN" w:bidi="ar-SA"/>
              </w:rPr>
            </w:pPr>
            <w:r>
              <w:rPr>
                <w:rFonts w:hint="default" w:ascii="Times New Roman" w:hAnsi="Times New Roman" w:cs="Times New Roman" w:eastAsiaTheme="minorEastAsia"/>
                <w:sz w:val="21"/>
                <w:szCs w:val="21"/>
                <w:highlight w:val="none"/>
              </w:rPr>
              <w:t>万m</w:t>
            </w:r>
            <w:r>
              <w:rPr>
                <w:rFonts w:hint="default" w:ascii="Times New Roman" w:hAnsi="Times New Roman" w:cs="Times New Roman" w:eastAsiaTheme="minorEastAsia"/>
                <w:sz w:val="21"/>
                <w:szCs w:val="21"/>
                <w:highlight w:val="none"/>
                <w:vertAlign w:val="superscript"/>
              </w:rPr>
              <w:t>3</w:t>
            </w:r>
            <w:r>
              <w:rPr>
                <w:rFonts w:hint="default" w:ascii="Times New Roman" w:hAnsi="Times New Roman" w:cs="Times New Roman" w:eastAsiaTheme="minorEastAsia"/>
                <w:sz w:val="21"/>
                <w:szCs w:val="21"/>
                <w:highlight w:val="none"/>
              </w:rPr>
              <w:t>/a</w:t>
            </w:r>
          </w:p>
        </w:tc>
        <w:tc>
          <w:tcPr>
            <w:tcW w:w="5040" w:type="dxa"/>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1510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sz w:val="21"/>
                <w:szCs w:val="21"/>
                <w:highlight w:val="none"/>
                <w:lang w:val="en-US" w:eastAsia="zh-CN"/>
              </w:rPr>
              <w:t>颗粒物</w:t>
            </w:r>
          </w:p>
        </w:tc>
        <w:tc>
          <w:tcPr>
            <w:tcW w:w="847" w:type="dxa"/>
            <w:tcMar>
              <w:top w:w="0" w:type="dxa"/>
              <w:left w:w="0" w:type="dxa"/>
              <w:bottom w:w="0" w:type="dxa"/>
              <w:right w:w="0" w:type="dxa"/>
            </w:tcMar>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eastAsiaTheme="minorEastAsia"/>
                <w:kern w:val="2"/>
                <w:sz w:val="21"/>
                <w:szCs w:val="21"/>
                <w:highlight w:val="none"/>
                <w:lang w:val="en-US" w:eastAsia="zh-CN" w:bidi="ar-SA"/>
              </w:rPr>
            </w:pPr>
            <w:r>
              <w:rPr>
                <w:rFonts w:hint="default" w:ascii="Times New Roman" w:hAnsi="Times New Roman" w:cs="Times New Roman" w:eastAsiaTheme="minorEastAsia"/>
                <w:sz w:val="21"/>
                <w:szCs w:val="21"/>
                <w:highlight w:val="none"/>
              </w:rPr>
              <w:t>t/a</w:t>
            </w:r>
          </w:p>
        </w:tc>
        <w:tc>
          <w:tcPr>
            <w:tcW w:w="5040" w:type="dxa"/>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0.020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spacing w:val="0"/>
                <w:kern w:val="2"/>
                <w:sz w:val="21"/>
                <w:szCs w:val="21"/>
                <w:highlight w:val="none"/>
                <w:lang w:val="en-US" w:eastAsia="zh-CN" w:bidi="ar-SA"/>
              </w:rPr>
            </w:pPr>
            <w:r>
              <w:rPr>
                <w:rFonts w:hint="default" w:ascii="Times New Roman" w:hAnsi="Times New Roman" w:cs="Times New Roman" w:eastAsiaTheme="minorEastAsia"/>
                <w:sz w:val="21"/>
                <w:szCs w:val="21"/>
                <w:highlight w:val="none"/>
                <w:lang w:eastAsia="zh-CN"/>
              </w:rPr>
              <w:t>非甲烷总烃</w:t>
            </w:r>
          </w:p>
        </w:tc>
        <w:tc>
          <w:tcPr>
            <w:tcW w:w="847" w:type="dxa"/>
            <w:tcMar>
              <w:top w:w="0" w:type="dxa"/>
              <w:left w:w="0" w:type="dxa"/>
              <w:bottom w:w="0" w:type="dxa"/>
              <w:right w:w="0" w:type="dxa"/>
            </w:tcMar>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eastAsiaTheme="minorEastAsia"/>
                <w:spacing w:val="0"/>
                <w:kern w:val="2"/>
                <w:sz w:val="21"/>
                <w:szCs w:val="21"/>
                <w:highlight w:val="none"/>
                <w:lang w:val="en-US" w:eastAsia="zh-CN" w:bidi="ar-SA"/>
              </w:rPr>
            </w:pPr>
            <w:r>
              <w:rPr>
                <w:rFonts w:hint="default" w:ascii="Times New Roman" w:hAnsi="Times New Roman" w:cs="Times New Roman" w:eastAsiaTheme="minorEastAsia"/>
                <w:sz w:val="21"/>
                <w:szCs w:val="21"/>
                <w:highlight w:val="none"/>
              </w:rPr>
              <w:t>t/a</w:t>
            </w:r>
          </w:p>
        </w:tc>
        <w:tc>
          <w:tcPr>
            <w:tcW w:w="5040" w:type="dxa"/>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0.024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highlight w:val="none"/>
                <w:lang w:val="en-US" w:eastAsia="zh-CN" w:bidi="ar-SA"/>
              </w:rPr>
            </w:pPr>
            <w:r>
              <w:rPr>
                <w:rFonts w:hint="default" w:ascii="Times New Roman" w:hAnsi="Times New Roman" w:cs="Times New Roman" w:eastAsiaTheme="minorEastAsia"/>
                <w:color w:val="auto"/>
                <w:spacing w:val="0"/>
                <w:sz w:val="21"/>
                <w:szCs w:val="21"/>
                <w:highlight w:val="none"/>
                <w:lang w:eastAsia="zh-CN"/>
              </w:rPr>
              <w:t>甲苯</w:t>
            </w:r>
          </w:p>
        </w:tc>
        <w:tc>
          <w:tcPr>
            <w:tcW w:w="847" w:type="dxa"/>
            <w:tcMar>
              <w:top w:w="0" w:type="dxa"/>
              <w:left w:w="0" w:type="dxa"/>
              <w:bottom w:w="0" w:type="dxa"/>
              <w:right w:w="0" w:type="dxa"/>
            </w:tcMar>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t/a</w:t>
            </w:r>
          </w:p>
        </w:tc>
        <w:tc>
          <w:tcPr>
            <w:tcW w:w="5040" w:type="dxa"/>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1.13</w:t>
            </w:r>
            <w:r>
              <w:rPr>
                <w:rFonts w:hint="default" w:ascii="Times New Roman" w:hAnsi="Times New Roman" w:cs="Times New Roman"/>
                <w:color w:val="auto"/>
                <w:kern w:val="2"/>
                <w:sz w:val="21"/>
                <w:szCs w:val="21"/>
                <w:highlight w:val="none"/>
                <w:lang w:val="en-US" w:eastAsia="zh-CN" w:bidi="ar-SA"/>
              </w:rPr>
              <w:t>×10</w:t>
            </w:r>
            <w:r>
              <w:rPr>
                <w:rFonts w:hint="default" w:ascii="Times New Roman" w:hAnsi="Times New Roman" w:cs="Times New Roman"/>
                <w:color w:val="auto"/>
                <w:kern w:val="2"/>
                <w:sz w:val="21"/>
                <w:szCs w:val="21"/>
                <w:highlight w:val="none"/>
                <w:vertAlign w:val="superscript"/>
                <w:lang w:val="en-US" w:eastAsia="zh-CN" w:bidi="ar-SA"/>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vMerge w:val="continue"/>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sz w:val="21"/>
                <w:szCs w:val="21"/>
                <w:lang w:eastAsia="zh-CN"/>
              </w:rPr>
            </w:pPr>
          </w:p>
        </w:tc>
        <w:tc>
          <w:tcPr>
            <w:tcW w:w="2020" w:type="dxa"/>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highlight w:val="none"/>
                <w:lang w:val="en-US" w:eastAsia="zh-CN" w:bidi="ar-SA"/>
              </w:rPr>
            </w:pPr>
            <w:r>
              <w:rPr>
                <w:rFonts w:hint="default" w:ascii="Times New Roman" w:hAnsi="Times New Roman" w:cs="Times New Roman" w:eastAsiaTheme="minorEastAsia"/>
                <w:color w:val="auto"/>
                <w:spacing w:val="0"/>
                <w:sz w:val="21"/>
                <w:szCs w:val="21"/>
                <w:highlight w:val="none"/>
                <w:lang w:eastAsia="zh-CN"/>
              </w:rPr>
              <w:t>二甲苯</w:t>
            </w:r>
          </w:p>
        </w:tc>
        <w:tc>
          <w:tcPr>
            <w:tcW w:w="847" w:type="dxa"/>
            <w:tcMar>
              <w:top w:w="0" w:type="dxa"/>
              <w:left w:w="0" w:type="dxa"/>
              <w:bottom w:w="0" w:type="dxa"/>
              <w:right w:w="0" w:type="dxa"/>
            </w:tcMar>
            <w:vAlign w:val="center"/>
          </w:tcPr>
          <w:p>
            <w:pPr>
              <w:keepNext w:val="0"/>
              <w:keepLines w:val="0"/>
              <w:suppressLineNumbers w:val="0"/>
              <w:spacing w:before="0" w:beforeAutospacing="0" w:after="0" w:afterAutospacing="0" w:line="300" w:lineRule="exact"/>
              <w:ind w:left="0" w:right="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rPr>
              <w:t>t/a</w:t>
            </w:r>
          </w:p>
        </w:tc>
        <w:tc>
          <w:tcPr>
            <w:tcW w:w="5040" w:type="dxa"/>
            <w:tcBorders>
              <w:top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pageBreakBefore w:val="0"/>
              <w:suppressLineNumbers w:val="0"/>
              <w:kinsoku/>
              <w:wordWrap/>
              <w:overflowPunct/>
              <w:topLinePunct w:val="0"/>
              <w:autoSpaceDE/>
              <w:autoSpaceDN/>
              <w:bidi w:val="0"/>
              <w:spacing w:before="0" w:beforeAutospacing="0" w:after="0" w:afterAutospacing="0" w:line="280" w:lineRule="exact"/>
              <w:ind w:left="0" w:leftChars="0" w:right="0" w:rightChars="0" w:firstLine="0" w:firstLineChars="0"/>
              <w:jc w:val="center"/>
              <w:rPr>
                <w:rFonts w:hint="default" w:ascii="Times New Roman" w:hAnsi="Times New Roman" w:cs="Times New Roman" w:eastAsiaTheme="minorEastAsia"/>
                <w:color w:val="auto"/>
                <w:kern w:val="2"/>
                <w:sz w:val="21"/>
                <w:szCs w:val="21"/>
                <w:highlight w:val="none"/>
                <w:lang w:val="en-US" w:eastAsia="zh-CN" w:bidi="ar-SA"/>
              </w:rPr>
            </w:pPr>
            <w:r>
              <w:rPr>
                <w:rFonts w:hint="eastAsia" w:ascii="Times New Roman" w:hAnsi="Times New Roman" w:cs="Times New Roman"/>
                <w:color w:val="auto"/>
                <w:kern w:val="2"/>
                <w:sz w:val="21"/>
                <w:szCs w:val="21"/>
                <w:highlight w:val="none"/>
                <w:lang w:val="en-US" w:eastAsia="zh-CN" w:bidi="ar-SA"/>
              </w:rPr>
              <w:t>1.13</w:t>
            </w:r>
            <w:r>
              <w:rPr>
                <w:rFonts w:hint="default" w:ascii="Times New Roman" w:hAnsi="Times New Roman" w:cs="Times New Roman"/>
                <w:color w:val="auto"/>
                <w:kern w:val="2"/>
                <w:sz w:val="21"/>
                <w:szCs w:val="21"/>
                <w:highlight w:val="none"/>
                <w:lang w:val="en-US" w:eastAsia="zh-CN" w:bidi="ar-SA"/>
              </w:rPr>
              <w:t>×10</w:t>
            </w:r>
            <w:r>
              <w:rPr>
                <w:rFonts w:hint="default" w:ascii="Times New Roman" w:hAnsi="Times New Roman" w:cs="Times New Roman"/>
                <w:color w:val="auto"/>
                <w:kern w:val="2"/>
                <w:sz w:val="21"/>
                <w:szCs w:val="21"/>
                <w:highlight w:val="none"/>
                <w:vertAlign w:val="superscript"/>
                <w:lang w:val="en-US" w:eastAsia="zh-CN" w:bidi="ar-SA"/>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447" w:type="dxa"/>
            <w:tcBorders>
              <w:left w:val="single" w:color="auto" w:sz="4" w:space="0"/>
            </w:tcBorders>
            <w:tcMar>
              <w:top w:w="0" w:type="dxa"/>
              <w:left w:w="0" w:type="dxa"/>
              <w:bottom w:w="0" w:type="dxa"/>
              <w:right w:w="0" w:type="dxa"/>
            </w:tcMar>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spacing w:val="0"/>
                <w:kern w:val="2"/>
                <w:sz w:val="21"/>
                <w:szCs w:val="21"/>
                <w:lang w:val="en-US" w:eastAsia="zh-CN" w:bidi="ar-SA"/>
              </w:rPr>
            </w:pPr>
            <w:r>
              <w:rPr>
                <w:rFonts w:hint="default" w:ascii="Times New Roman" w:hAnsi="Times New Roman" w:cs="Times New Roman" w:eastAsiaTheme="minorEastAsia"/>
                <w:spacing w:val="0"/>
                <w:sz w:val="21"/>
                <w:szCs w:val="21"/>
                <w:lang w:val="en-US" w:eastAsia="zh-CN"/>
              </w:rPr>
              <w:t>备注</w:t>
            </w:r>
          </w:p>
        </w:tc>
        <w:tc>
          <w:tcPr>
            <w:tcW w:w="7907" w:type="dxa"/>
            <w:gridSpan w:val="3"/>
            <w:tcBorders>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line="260" w:lineRule="exact"/>
              <w:ind w:left="0" w:right="0"/>
              <w:jc w:val="left"/>
              <w:rPr>
                <w:rFonts w:hint="default" w:ascii="Times New Roman" w:hAnsi="Times New Roman" w:cs="Times New Roman" w:eastAsiaTheme="minorEastAsia"/>
                <w:kern w:val="2"/>
                <w:sz w:val="21"/>
                <w:szCs w:val="21"/>
                <w:lang w:val="en-US" w:eastAsia="zh-CN" w:bidi="ar-SA"/>
              </w:rPr>
            </w:pPr>
            <w:r>
              <w:rPr>
                <w:rFonts w:hint="eastAsia" w:ascii="Times New Roman" w:hAnsi="Times New Roman" w:cs="Times New Roman"/>
                <w:spacing w:val="0"/>
                <w:sz w:val="21"/>
                <w:szCs w:val="21"/>
                <w:lang w:val="en-US" w:eastAsia="zh-CN"/>
              </w:rPr>
              <w:t>年运行2500小时</w:t>
            </w:r>
            <w:r>
              <w:rPr>
                <w:rFonts w:hint="default" w:ascii="Times New Roman" w:hAnsi="Times New Roman" w:cs="Times New Roman"/>
                <w:color w:val="auto"/>
                <w:spacing w:val="0"/>
                <w:sz w:val="21"/>
                <w:szCs w:val="21"/>
                <w:lang w:val="en-US" w:eastAsia="zh-CN"/>
              </w:rPr>
              <w:t>；</w:t>
            </w:r>
            <w:r>
              <w:rPr>
                <w:rFonts w:hint="default" w:ascii="Times New Roman" w:hAnsi="Times New Roman" w:cs="Times New Roman" w:eastAsiaTheme="minorEastAsia"/>
                <w:color w:val="auto"/>
                <w:spacing w:val="0"/>
                <w:sz w:val="21"/>
                <w:szCs w:val="21"/>
                <w:lang w:val="en-US" w:eastAsia="zh-CN"/>
              </w:rPr>
              <w:t>“ND”表示未检出</w:t>
            </w:r>
            <w:r>
              <w:rPr>
                <w:rFonts w:hint="eastAsia" w:ascii="Times New Roman" w:hAnsi="Times New Roman" w:cs="Times New Roman"/>
                <w:color w:val="auto"/>
                <w:spacing w:val="0"/>
                <w:sz w:val="21"/>
                <w:szCs w:val="21"/>
                <w:lang w:val="en-US" w:eastAsia="zh-CN"/>
              </w:rPr>
              <w:t>，未检出时，排放量按检出限浓度的一半计算</w:t>
            </w:r>
            <w:r>
              <w:rPr>
                <w:rFonts w:hint="default" w:ascii="Times New Roman" w:hAnsi="Times New Roman" w:cs="Times New Roman" w:eastAsiaTheme="minorEastAsia"/>
                <w:color w:val="auto"/>
                <w:spacing w:val="0"/>
                <w:sz w:val="21"/>
                <w:szCs w:val="21"/>
                <w:lang w:val="en-US" w:eastAsia="zh-CN"/>
              </w:rPr>
              <w:t>；</w:t>
            </w:r>
            <w:r>
              <w:rPr>
                <w:rFonts w:hint="default" w:ascii="Times New Roman" w:hAnsi="Times New Roman" w:cs="Times New Roman" w:eastAsiaTheme="minorEastAsia"/>
                <w:sz w:val="21"/>
                <w:szCs w:val="21"/>
                <w:lang w:val="en-US" w:eastAsia="zh-CN"/>
              </w:rPr>
              <w:t>颗粒物执行《大气污染物综合排放标准》（GB16297-1996）表2中</w:t>
            </w:r>
            <w:r>
              <w:rPr>
                <w:rFonts w:hint="eastAsia" w:ascii="Times New Roman" w:hAnsi="Times New Roman" w:cs="Times New Roman"/>
                <w:sz w:val="21"/>
                <w:szCs w:val="21"/>
                <w:lang w:val="en-US" w:eastAsia="zh-CN"/>
              </w:rPr>
              <w:t>颗粒物</w:t>
            </w:r>
            <w:r>
              <w:rPr>
                <w:rFonts w:hint="default" w:ascii="Times New Roman" w:hAnsi="Times New Roman" w:cs="Times New Roman" w:eastAsiaTheme="minorEastAsia"/>
                <w:sz w:val="21"/>
                <w:szCs w:val="21"/>
                <w:lang w:val="en-US" w:eastAsia="zh-CN"/>
              </w:rPr>
              <w:t>染料尘二级标准排放限值；非甲烷总烃</w:t>
            </w:r>
            <w:r>
              <w:rPr>
                <w:rFonts w:hint="eastAsia" w:ascii="Times New Roman" w:hAnsi="Times New Roman" w:cs="Times New Roman"/>
                <w:sz w:val="21"/>
                <w:szCs w:val="21"/>
                <w:lang w:val="en-US" w:eastAsia="zh-CN"/>
              </w:rPr>
              <w:t>、苯、甲苯、二甲苯</w:t>
            </w:r>
            <w:r>
              <w:rPr>
                <w:rFonts w:hint="default" w:ascii="Times New Roman" w:hAnsi="Times New Roman" w:cs="Times New Roman" w:eastAsiaTheme="minorEastAsia"/>
                <w:sz w:val="21"/>
                <w:szCs w:val="21"/>
                <w:lang w:val="en-US" w:eastAsia="zh-CN"/>
              </w:rPr>
              <w:t>执行《工业企业挥发性有机物排放控制标准》（DB 13/2322-2016）表1中</w:t>
            </w:r>
            <w:r>
              <w:rPr>
                <w:rFonts w:hint="default" w:ascii="Times New Roman" w:hAnsi="Times New Roman" w:cs="Times New Roman"/>
                <w:sz w:val="21"/>
                <w:szCs w:val="21"/>
                <w:lang w:val="en-US" w:eastAsia="zh-CN"/>
              </w:rPr>
              <w:t>表面涂装业</w:t>
            </w:r>
            <w:r>
              <w:rPr>
                <w:rFonts w:hint="default" w:ascii="Times New Roman" w:hAnsi="Times New Roman" w:cs="Times New Roman" w:eastAsiaTheme="minorEastAsia"/>
                <w:sz w:val="21"/>
                <w:szCs w:val="21"/>
                <w:lang w:val="en-US" w:eastAsia="zh-CN"/>
              </w:rPr>
              <w:t>排放限值</w:t>
            </w:r>
            <w:r>
              <w:rPr>
                <w:rFonts w:hint="eastAsia" w:ascii="Times New Roman" w:hAnsi="Times New Roman" w:cs="Times New Roman"/>
                <w:sz w:val="21"/>
                <w:szCs w:val="21"/>
                <w:lang w:val="en-US" w:eastAsia="zh-CN"/>
              </w:rPr>
              <w:t>。</w:t>
            </w:r>
          </w:p>
        </w:tc>
      </w:tr>
    </w:tbl>
    <w:p>
      <w:pPr>
        <w:pStyle w:val="7"/>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lang w:eastAsia="zh-CN"/>
        </w:rPr>
      </w:pPr>
      <w:r>
        <w:rPr>
          <w:rFonts w:hint="eastAsia" w:ascii="Times New Roman" w:hAnsi="Times New Roman" w:cs="Times New Roman"/>
          <w:b/>
          <w:sz w:val="24"/>
          <w:szCs w:val="24"/>
          <w:lang w:val="en-US" w:eastAsia="zh-CN"/>
        </w:rPr>
        <w:t xml:space="preserve"> </w:t>
      </w:r>
      <w:r>
        <w:rPr>
          <w:rFonts w:hint="default" w:ascii="Times New Roman" w:hAnsi="Times New Roman" w:eastAsia="宋体" w:cs="Times New Roman"/>
          <w:b/>
          <w:sz w:val="24"/>
          <w:szCs w:val="24"/>
        </w:rPr>
        <w:t>表7-</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厂界无组织废气</w:t>
      </w:r>
      <w:r>
        <w:rPr>
          <w:rFonts w:hint="default" w:ascii="Times New Roman" w:hAnsi="Times New Roman" w:eastAsia="宋体" w:cs="Times New Roman"/>
          <w:b/>
          <w:sz w:val="24"/>
          <w:szCs w:val="24"/>
        </w:rPr>
        <w:t>检测结果</w:t>
      </w: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default"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sz w:val="24"/>
          <w:szCs w:val="24"/>
          <w:lang w:eastAsia="zh-CN"/>
        </w:rPr>
        <w:t>）</w:t>
      </w:r>
    </w:p>
    <w:tbl>
      <w:tblPr>
        <w:tblStyle w:val="22"/>
        <w:tblW w:w="93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8"/>
        <w:gridCol w:w="2250"/>
        <w:gridCol w:w="1036"/>
        <w:gridCol w:w="1036"/>
        <w:gridCol w:w="1038"/>
        <w:gridCol w:w="1100"/>
        <w:gridCol w:w="1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968" w:type="dxa"/>
            <w:gridSpan w:val="2"/>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rPr>
            </w:pPr>
            <w:bookmarkStart w:id="280" w:name="_Toc7702"/>
            <w:bookmarkStart w:id="281" w:name="_Toc11555"/>
            <w:bookmarkStart w:id="282" w:name="_Toc6567"/>
            <w:bookmarkStart w:id="283" w:name="_Toc8796"/>
            <w:bookmarkStart w:id="284" w:name="_Toc497001489"/>
            <w:bookmarkStart w:id="285" w:name="_Toc7541"/>
            <w:bookmarkStart w:id="286" w:name="_Toc3240"/>
            <w:r>
              <w:rPr>
                <w:rFonts w:hint="default" w:ascii="Times New Roman" w:hAnsi="Times New Roman" w:cs="Times New Roman" w:eastAsiaTheme="minorEastAsia"/>
                <w:color w:val="auto"/>
                <w:spacing w:val="0"/>
                <w:sz w:val="21"/>
                <w:szCs w:val="21"/>
              </w:rPr>
              <w:t>监</w:t>
            </w:r>
            <w:r>
              <w:rPr>
                <w:rFonts w:hint="default" w:ascii="Times New Roman" w:hAnsi="Times New Roman" w:cs="Times New Roman" w:eastAsiaTheme="minorEastAsia"/>
                <w:color w:val="auto"/>
                <w:spacing w:val="0"/>
                <w:sz w:val="21"/>
                <w:szCs w:val="21"/>
                <w:lang w:val="en-US" w:eastAsia="zh-CN"/>
              </w:rPr>
              <w:t>测时间及点位</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rPr>
            </w:pPr>
            <w:r>
              <w:rPr>
                <w:rFonts w:hint="default" w:ascii="Times New Roman" w:hAnsi="Times New Roman" w:cs="Times New Roman" w:eastAsiaTheme="minorEastAsia"/>
                <w:color w:val="auto"/>
                <w:spacing w:val="0"/>
                <w:sz w:val="21"/>
                <w:szCs w:val="21"/>
              </w:rPr>
              <w:t>第一次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rPr>
            </w:pPr>
            <w:r>
              <w:rPr>
                <w:rFonts w:hint="default" w:ascii="Times New Roman" w:hAnsi="Times New Roman" w:cs="Times New Roman" w:eastAsiaTheme="minorEastAsia"/>
                <w:color w:val="auto"/>
                <w:spacing w:val="0"/>
                <w:sz w:val="21"/>
                <w:szCs w:val="21"/>
              </w:rPr>
              <w:t>第二次</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rPr>
            </w:pPr>
            <w:r>
              <w:rPr>
                <w:rFonts w:hint="default" w:ascii="Times New Roman" w:hAnsi="Times New Roman" w:cs="Times New Roman" w:eastAsiaTheme="minorEastAsia"/>
                <w:color w:val="auto"/>
                <w:spacing w:val="0"/>
                <w:sz w:val="21"/>
                <w:szCs w:val="21"/>
              </w:rPr>
              <w:t>第三次</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标准限值</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上风向1#</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2020.08.24</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0.64</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0.68</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0.66</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0.285</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0.292</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0.282</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下风向2#</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2020.08.24</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0.75</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0.80</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0.75</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0.327</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0.338</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0.332</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下风向3#</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2020.08.24</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0.76</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0.74</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0.74</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0.337</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0.330</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0.326</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下风向4#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2020.08.24</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0.76</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0.73</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0.73</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0.329</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0.340</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0.335</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bl>
    <w:p>
      <w:pPr>
        <w:rPr>
          <w:rFonts w:hint="eastAsia" w:eastAsia="宋体"/>
          <w:lang w:eastAsia="zh-CN"/>
        </w:rPr>
      </w:pPr>
      <w:r>
        <w:rPr>
          <w:rFonts w:hint="eastAsia"/>
          <w:lang w:eastAsia="zh-CN"/>
        </w:rPr>
        <w:t>续上表</w:t>
      </w:r>
    </w:p>
    <w:tbl>
      <w:tblPr>
        <w:tblStyle w:val="22"/>
        <w:tblW w:w="93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8"/>
        <w:gridCol w:w="2250"/>
        <w:gridCol w:w="1036"/>
        <w:gridCol w:w="1036"/>
        <w:gridCol w:w="1038"/>
        <w:gridCol w:w="1100"/>
        <w:gridCol w:w="1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3968" w:type="dxa"/>
            <w:gridSpan w:val="2"/>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eastAsiaTheme="minorEastAsia"/>
                <w:color w:val="auto"/>
                <w:spacing w:val="0"/>
                <w:sz w:val="21"/>
                <w:szCs w:val="21"/>
              </w:rPr>
              <w:t>监</w:t>
            </w:r>
            <w:r>
              <w:rPr>
                <w:rFonts w:hint="default" w:ascii="Times New Roman" w:hAnsi="Times New Roman" w:cs="Times New Roman" w:eastAsiaTheme="minorEastAsia"/>
                <w:color w:val="auto"/>
                <w:spacing w:val="0"/>
                <w:sz w:val="21"/>
                <w:szCs w:val="21"/>
                <w:lang w:val="en-US" w:eastAsia="zh-CN"/>
              </w:rPr>
              <w:t>测时间及点位</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eastAsiaTheme="minorEastAsia"/>
                <w:color w:val="auto"/>
                <w:spacing w:val="0"/>
                <w:sz w:val="21"/>
                <w:szCs w:val="21"/>
              </w:rPr>
              <w:t>第一次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eastAsiaTheme="minorEastAsia"/>
                <w:color w:val="auto"/>
                <w:spacing w:val="0"/>
                <w:sz w:val="21"/>
                <w:szCs w:val="21"/>
              </w:rPr>
              <w:t>第二次</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eastAsiaTheme="minorEastAsia"/>
                <w:color w:val="auto"/>
                <w:spacing w:val="0"/>
                <w:sz w:val="21"/>
                <w:szCs w:val="21"/>
              </w:rPr>
              <w:t>第三次</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eastAsia="宋体" w:cs="Times New Roman"/>
                <w:b w:val="0"/>
                <w:bCs w:val="0"/>
                <w:color w:val="auto"/>
                <w:sz w:val="21"/>
                <w:szCs w:val="21"/>
                <w:highlight w:val="none"/>
                <w:lang w:val="en-US" w:eastAsia="zh-CN"/>
              </w:rPr>
              <w:t>标准限值</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上风向1#</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2020.08.25</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0.70</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0.68</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0.65</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0.290</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0.279</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0.284</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下风向2#</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2020.08.25</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0.78</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0.80</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0.81</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0.337</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0.327</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0.330</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下风向3#</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2020.08.25</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0.74</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0.77</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0.74</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0.332</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0.325</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0.339</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spacing w:val="0"/>
                <w:sz w:val="21"/>
                <w:szCs w:val="21"/>
                <w:lang w:val="en-US" w:eastAsia="zh-CN"/>
              </w:rPr>
            </w:pPr>
            <w:r>
              <w:rPr>
                <w:rFonts w:hint="default" w:ascii="Times New Roman" w:hAnsi="Times New Roman" w:cs="Times New Roman"/>
                <w:spacing w:val="0"/>
                <w:sz w:val="21"/>
                <w:szCs w:val="21"/>
                <w:lang w:val="en-US" w:eastAsia="zh-CN"/>
              </w:rPr>
              <w:t>下风向4#</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spacing w:val="0"/>
                <w:sz w:val="21"/>
                <w:szCs w:val="21"/>
                <w:lang w:val="en-US" w:eastAsia="zh-CN"/>
              </w:rPr>
              <w:t>2020.08.25</w:t>
            </w: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非甲烷总烃（以碳计）</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0.76</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0.76</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0.77</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2.0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0.1</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0.6</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eastAsiaTheme="minorEastAsia"/>
                <w:color w:val="auto"/>
                <w:spacing w:val="0"/>
                <w:sz w:val="21"/>
                <w:szCs w:val="21"/>
                <w:lang w:eastAsia="zh-CN"/>
              </w:rPr>
              <w:t>二甲苯</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6"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038" w:type="dxa"/>
            <w:shd w:val="clear" w:color="auto" w:fill="auto"/>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ND</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0.2</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p>
        </w:tc>
        <w:tc>
          <w:tcPr>
            <w:tcW w:w="225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eastAsia="zh-CN"/>
              </w:rPr>
            </w:pPr>
            <w:r>
              <w:rPr>
                <w:rFonts w:hint="default" w:ascii="Times New Roman" w:hAnsi="Times New Roman" w:cs="Times New Roman"/>
                <w:spacing w:val="0"/>
                <w:sz w:val="21"/>
                <w:szCs w:val="21"/>
                <w:lang w:val="en-US" w:eastAsia="zh-CN"/>
              </w:rPr>
              <w:t>颗粒物</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0.329</w:t>
            </w:r>
          </w:p>
        </w:tc>
        <w:tc>
          <w:tcPr>
            <w:tcW w:w="1036"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0.324</w:t>
            </w:r>
          </w:p>
        </w:tc>
        <w:tc>
          <w:tcPr>
            <w:tcW w:w="103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color w:val="auto"/>
                <w:spacing w:val="0"/>
                <w:sz w:val="21"/>
                <w:szCs w:val="21"/>
                <w:lang w:val="en-US" w:eastAsia="zh-CN"/>
              </w:rPr>
            </w:pPr>
            <w:r>
              <w:rPr>
                <w:rFonts w:hint="default" w:ascii="Times New Roman" w:hAnsi="Times New Roman" w:cs="Times New Roman"/>
                <w:spacing w:val="0"/>
                <w:sz w:val="21"/>
                <w:szCs w:val="21"/>
                <w:lang w:val="en-US" w:eastAsia="zh-CN"/>
              </w:rPr>
              <w:t>0.335</w:t>
            </w:r>
          </w:p>
        </w:tc>
        <w:tc>
          <w:tcPr>
            <w:tcW w:w="110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color w:val="auto"/>
                <w:spacing w:val="0"/>
                <w:sz w:val="21"/>
                <w:szCs w:val="21"/>
                <w:lang w:val="en-US" w:eastAsia="zh-CN"/>
              </w:rPr>
              <w:t>1.0</w:t>
            </w:r>
          </w:p>
        </w:tc>
        <w:tc>
          <w:tcPr>
            <w:tcW w:w="1160"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auto"/>
                <w:kern w:val="2"/>
                <w:sz w:val="21"/>
                <w:szCs w:val="21"/>
                <w:highlight w:val="none"/>
                <w:lang w:val="en-US" w:eastAsia="zh-CN" w:bidi="ar-SA"/>
              </w:rPr>
            </w:pPr>
            <w:r>
              <w:rPr>
                <w:rFonts w:hint="default" w:ascii="Times New Roman" w:hAnsi="Times New Roman" w:eastAsia="宋体" w:cs="Times New Roman"/>
                <w:b w:val="0"/>
                <w:bCs w:val="0"/>
                <w:color w:val="auto"/>
                <w:sz w:val="21"/>
                <w:szCs w:val="21"/>
                <w:highlight w:val="none"/>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jc w:val="center"/>
        </w:trPr>
        <w:tc>
          <w:tcPr>
            <w:tcW w:w="1718"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sz w:val="21"/>
                <w:szCs w:val="21"/>
                <w:lang w:val="en-US" w:eastAsia="zh-CN"/>
              </w:rPr>
            </w:pPr>
            <w:r>
              <w:rPr>
                <w:rFonts w:hint="default" w:ascii="Times New Roman" w:hAnsi="Times New Roman" w:cs="Times New Roman"/>
                <w:color w:val="auto"/>
                <w:spacing w:val="0"/>
                <w:sz w:val="21"/>
                <w:szCs w:val="21"/>
                <w:lang w:val="en-US" w:eastAsia="zh-CN"/>
              </w:rPr>
              <w:t>备注</w:t>
            </w:r>
          </w:p>
        </w:tc>
        <w:tc>
          <w:tcPr>
            <w:tcW w:w="7620" w:type="dxa"/>
            <w:gridSpan w:val="6"/>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left"/>
              <w:textAlignment w:val="auto"/>
              <w:outlineLvl w:val="9"/>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“ND”表示未检出；</w:t>
            </w:r>
            <w:r>
              <w:rPr>
                <w:rFonts w:hint="default" w:ascii="Times New Roman" w:hAnsi="Times New Roman" w:cs="Times New Roman"/>
                <w:color w:val="auto"/>
                <w:sz w:val="21"/>
                <w:szCs w:val="21"/>
                <w:highlight w:val="none"/>
                <w:lang w:val="en-US" w:eastAsia="zh-CN"/>
              </w:rPr>
              <w:t>非甲烷总烃</w:t>
            </w:r>
            <w:r>
              <w:rPr>
                <w:rFonts w:hint="eastAsia" w:ascii="Times New Roman" w:hAnsi="Times New Roman" w:cs="Times New Roman"/>
                <w:color w:val="auto"/>
                <w:sz w:val="21"/>
                <w:szCs w:val="21"/>
                <w:highlight w:val="none"/>
                <w:lang w:val="en-US" w:eastAsia="zh-CN"/>
              </w:rPr>
              <w:t>、苯、甲苯、二甲苯</w:t>
            </w:r>
            <w:r>
              <w:rPr>
                <w:rFonts w:hint="default" w:ascii="Times New Roman" w:hAnsi="Times New Roman" w:eastAsia="宋体" w:cs="Times New Roman"/>
                <w:color w:val="auto"/>
                <w:sz w:val="21"/>
                <w:szCs w:val="21"/>
                <w:highlight w:val="none"/>
                <w:lang w:val="en-US" w:eastAsia="zh-CN"/>
              </w:rPr>
              <w:t>执行《工业企业挥发性有机物排放控制标准》（DB 13/2322-2016）表2其它企业边界大气污染物浓度限值；</w:t>
            </w:r>
            <w:r>
              <w:rPr>
                <w:rFonts w:hint="default" w:ascii="Times New Roman" w:hAnsi="Times New Roman" w:eastAsia="宋体" w:cs="Times New Roman"/>
                <w:sz w:val="21"/>
                <w:szCs w:val="21"/>
                <w:lang w:val="en-US" w:eastAsia="zh-CN"/>
              </w:rPr>
              <w:t>颗粒物执行《大气污染物综合排放标准》（GB16297-1996）表2无组织排放监控浓度限值标准</w:t>
            </w:r>
            <w:r>
              <w:rPr>
                <w:rFonts w:hint="eastAsia" w:ascii="Times New Roman" w:hAnsi="Times New Roman" w:eastAsia="宋体" w:cs="Times New Roman"/>
                <w:sz w:val="21"/>
                <w:szCs w:val="21"/>
                <w:lang w:val="en-US" w:eastAsia="zh-CN"/>
              </w:rPr>
              <w:t>。</w:t>
            </w:r>
          </w:p>
        </w:tc>
      </w:tr>
    </w:tbl>
    <w:p>
      <w:pPr>
        <w:pStyle w:val="5"/>
        <w:jc w:val="center"/>
        <w:rPr>
          <w:rFonts w:hint="default" w:ascii="Times New Roman" w:hAnsi="Times New Roman" w:eastAsia="宋体" w:cs="Times New Roman"/>
          <w:b/>
          <w:bCs/>
          <w:lang w:eastAsia="zh-CN"/>
        </w:rPr>
      </w:pPr>
      <w:r>
        <w:rPr>
          <w:rFonts w:hint="default" w:ascii="Times New Roman" w:hAnsi="Times New Roman" w:eastAsia="宋体" w:cs="Times New Roman"/>
          <w:b/>
          <w:bCs/>
        </w:rPr>
        <w:t>表7-</w:t>
      </w:r>
      <w:r>
        <w:rPr>
          <w:rFonts w:hint="default" w:ascii="Times New Roman" w:hAnsi="Times New Roman" w:cs="Times New Roman"/>
          <w:b/>
          <w:bCs/>
          <w:lang w:val="en-US" w:eastAsia="zh-CN"/>
        </w:rPr>
        <w:t>3</w:t>
      </w:r>
      <w:r>
        <w:rPr>
          <w:rFonts w:hint="default" w:ascii="Times New Roman" w:hAnsi="Times New Roman" w:eastAsia="宋体" w:cs="Times New Roman"/>
          <w:b/>
          <w:bCs/>
        </w:rPr>
        <w:t xml:space="preserve"> </w:t>
      </w:r>
      <w:r>
        <w:rPr>
          <w:rFonts w:hint="default" w:ascii="Times New Roman" w:hAnsi="Times New Roman" w:cs="Times New Roman"/>
          <w:b/>
          <w:bCs/>
          <w:lang w:eastAsia="zh-CN"/>
        </w:rPr>
        <w:t>车间</w:t>
      </w:r>
      <w:r>
        <w:rPr>
          <w:rFonts w:hint="default" w:ascii="Times New Roman" w:hAnsi="Times New Roman" w:eastAsia="宋体" w:cs="Times New Roman"/>
          <w:b/>
          <w:bCs/>
          <w:lang w:eastAsia="zh-CN"/>
        </w:rPr>
        <w:t>无组织废气</w:t>
      </w:r>
      <w:r>
        <w:rPr>
          <w:rFonts w:hint="default" w:ascii="Times New Roman" w:hAnsi="Times New Roman" w:eastAsia="宋体" w:cs="Times New Roman"/>
          <w:b/>
          <w:bCs/>
        </w:rPr>
        <w:t>检测结果</w:t>
      </w:r>
      <w:r>
        <w:rPr>
          <w:rFonts w:hint="default" w:ascii="Times New Roman" w:hAnsi="Times New Roman" w:eastAsia="宋体" w:cs="Times New Roman"/>
          <w:b/>
          <w:bCs/>
          <w:lang w:eastAsia="zh-CN"/>
        </w:rPr>
        <w:t>（</w:t>
      </w:r>
      <w:r>
        <w:rPr>
          <w:rFonts w:hint="default" w:ascii="Times New Roman" w:hAnsi="Times New Roman" w:eastAsia="宋体" w:cs="Times New Roman"/>
          <w:b/>
          <w:bCs/>
        </w:rPr>
        <w:t>单位</w:t>
      </w:r>
      <w:r>
        <w:rPr>
          <w:rFonts w:hint="default" w:ascii="Times New Roman" w:hAnsi="Times New Roman" w:eastAsia="宋体" w:cs="Times New Roman"/>
          <w:b/>
          <w:bCs/>
          <w:lang w:eastAsia="zh-CN"/>
        </w:rPr>
        <w:t>：</w:t>
      </w:r>
      <w:r>
        <w:rPr>
          <w:rFonts w:hint="default" w:ascii="Times New Roman" w:hAnsi="Times New Roman" w:eastAsia="宋体" w:cs="Times New Roman"/>
          <w:b/>
          <w:bCs/>
        </w:rPr>
        <w:t>mg/m</w:t>
      </w:r>
      <w:r>
        <w:rPr>
          <w:rFonts w:hint="default" w:ascii="Times New Roman" w:hAnsi="Times New Roman" w:eastAsia="宋体" w:cs="Times New Roman"/>
          <w:b/>
          <w:bCs/>
          <w:vertAlign w:val="superscript"/>
        </w:rPr>
        <w:t>3</w:t>
      </w:r>
      <w:r>
        <w:rPr>
          <w:rFonts w:hint="default" w:ascii="Times New Roman" w:hAnsi="Times New Roman" w:eastAsia="宋体" w:cs="Times New Roman"/>
          <w:b/>
          <w:bCs/>
          <w:lang w:eastAsia="zh-CN"/>
        </w:rPr>
        <w:t>）</w:t>
      </w:r>
      <w:bookmarkEnd w:id="280"/>
      <w:bookmarkEnd w:id="281"/>
    </w:p>
    <w:tbl>
      <w:tblPr>
        <w:tblStyle w:val="22"/>
        <w:tblW w:w="9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632"/>
        <w:gridCol w:w="1740"/>
        <w:gridCol w:w="3523"/>
        <w:gridCol w:w="1118"/>
        <w:gridCol w:w="1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3372" w:type="dxa"/>
            <w:gridSpan w:val="2"/>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bCs/>
                <w:spacing w:val="0"/>
                <w:sz w:val="21"/>
                <w:szCs w:val="21"/>
              </w:rPr>
            </w:pPr>
            <w:r>
              <w:rPr>
                <w:rFonts w:hint="default" w:ascii="Times New Roman" w:hAnsi="Times New Roman" w:eastAsia="宋体" w:cs="Times New Roman"/>
                <w:spacing w:val="0"/>
                <w:sz w:val="21"/>
                <w:szCs w:val="21"/>
              </w:rPr>
              <w:t>监测时间、点位及项目</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车间</w:t>
            </w:r>
            <w:r>
              <w:rPr>
                <w:rFonts w:hint="default" w:ascii="Times New Roman" w:hAnsi="Times New Roman" w:eastAsia="宋体" w:cs="Times New Roman"/>
                <w:spacing w:val="0"/>
                <w:sz w:val="21"/>
                <w:szCs w:val="21"/>
                <w:lang w:val="en-US" w:eastAsia="zh-CN"/>
              </w:rPr>
              <w:t>1#</w:t>
            </w:r>
          </w:p>
        </w:tc>
        <w:tc>
          <w:tcPr>
            <w:tcW w:w="1118"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标准限值</w:t>
            </w: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Merge w:val="restart"/>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非甲烷总烃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z w:val="21"/>
                <w:szCs w:val="21"/>
                <w:lang w:val="en-US" w:eastAsia="zh-CN"/>
              </w:rPr>
              <w:t>（以碳计）</w:t>
            </w:r>
            <w:r>
              <w:rPr>
                <w:rFonts w:hint="eastAsia" w:ascii="Times New Roman" w:hAnsi="Times New Roman" w:eastAsia="宋体" w:cs="Times New Roman"/>
                <w:spacing w:val="0"/>
                <w:sz w:val="21"/>
                <w:szCs w:val="21"/>
                <w:lang w:val="en-US" w:eastAsia="zh-CN"/>
              </w:rPr>
              <w:t>2020.08.24</w:t>
            </w: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第一次</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1.06</w:t>
            </w:r>
          </w:p>
        </w:tc>
        <w:tc>
          <w:tcPr>
            <w:tcW w:w="1118" w:type="dxa"/>
            <w:vMerge w:val="restart"/>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4.0</w:t>
            </w: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第二次</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1.09</w:t>
            </w:r>
          </w:p>
        </w:tc>
        <w:tc>
          <w:tcPr>
            <w:tcW w:w="1118" w:type="dxa"/>
            <w:vMerge w:val="continue"/>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第三次</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1.11</w:t>
            </w:r>
          </w:p>
        </w:tc>
        <w:tc>
          <w:tcPr>
            <w:tcW w:w="1118" w:type="dxa"/>
            <w:vMerge w:val="continue"/>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Merge w:val="restart"/>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非甲烷总烃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z w:val="21"/>
                <w:szCs w:val="21"/>
                <w:lang w:val="en-US" w:eastAsia="zh-CN"/>
              </w:rPr>
              <w:t>（以碳计）</w:t>
            </w:r>
            <w:r>
              <w:rPr>
                <w:rFonts w:hint="eastAsia" w:ascii="Times New Roman" w:hAnsi="Times New Roman" w:eastAsia="宋体" w:cs="Times New Roman"/>
                <w:spacing w:val="0"/>
                <w:sz w:val="21"/>
                <w:szCs w:val="21"/>
                <w:lang w:val="en-US" w:eastAsia="zh-CN"/>
              </w:rPr>
              <w:t>2020.08.25</w:t>
            </w: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第一次</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1.06</w:t>
            </w:r>
          </w:p>
        </w:tc>
        <w:tc>
          <w:tcPr>
            <w:tcW w:w="1118" w:type="dxa"/>
            <w:vMerge w:val="continue"/>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第二次</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1.09</w:t>
            </w:r>
          </w:p>
        </w:tc>
        <w:tc>
          <w:tcPr>
            <w:tcW w:w="1118" w:type="dxa"/>
            <w:vMerge w:val="continue"/>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Merge w:val="continue"/>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第三次</w:t>
            </w:r>
          </w:p>
        </w:tc>
        <w:tc>
          <w:tcPr>
            <w:tcW w:w="3523"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eastAsia" w:ascii="Times New Roman" w:hAnsi="Times New Roman" w:eastAsia="宋体" w:cs="Times New Roman"/>
                <w:spacing w:val="0"/>
                <w:sz w:val="21"/>
                <w:szCs w:val="21"/>
                <w:lang w:val="en-US" w:eastAsia="zh-CN"/>
              </w:rPr>
              <w:t>1.12</w:t>
            </w:r>
          </w:p>
        </w:tc>
        <w:tc>
          <w:tcPr>
            <w:tcW w:w="1118" w:type="dxa"/>
            <w:vMerge w:val="continue"/>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84"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632"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备注</w:t>
            </w:r>
          </w:p>
        </w:tc>
        <w:tc>
          <w:tcPr>
            <w:tcW w:w="7565" w:type="dxa"/>
            <w:gridSpan w:val="4"/>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left"/>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执行《工业企业挥发性有机物排放控制标准》（DB 13/2322-2016）</w:t>
            </w:r>
            <w:r>
              <w:rPr>
                <w:rFonts w:hint="default" w:ascii="Times New Roman" w:hAnsi="Times New Roman" w:eastAsia="宋体" w:cs="Times New Roman"/>
                <w:w w:val="100"/>
                <w:sz w:val="21"/>
                <w:szCs w:val="21"/>
                <w:lang w:val="en-US" w:eastAsia="zh-CN"/>
              </w:rPr>
              <w:t>表3生产车间或生产设备边界大气污染物浓度限值，同时满足《挥发性有机物无组织排放控制标准》（GB 37822-2019）表A.1厂区内VOCs无组织特别排放限值</w:t>
            </w:r>
          </w:p>
        </w:tc>
      </w:tr>
    </w:tbl>
    <w:p>
      <w:pPr>
        <w:pStyle w:val="5"/>
        <w:rPr>
          <w:rFonts w:hint="default" w:ascii="Times New Roman" w:hAnsi="Times New Roman" w:eastAsia="宋体" w:cs="Times New Roman"/>
        </w:rPr>
      </w:pPr>
      <w:bookmarkStart w:id="287" w:name="_Toc4285"/>
      <w:r>
        <w:rPr>
          <w:rFonts w:hint="default" w:ascii="Times New Roman" w:hAnsi="Times New Roman" w:eastAsia="宋体" w:cs="Times New Roman"/>
        </w:rPr>
        <w:t>7.1.</w:t>
      </w:r>
      <w:r>
        <w:rPr>
          <w:rFonts w:hint="eastAsia" w:ascii="Times New Roman" w:hAnsi="Times New Roman" w:cs="Times New Roman"/>
          <w:lang w:val="en-US" w:eastAsia="zh-CN"/>
        </w:rPr>
        <w:t>2</w:t>
      </w:r>
      <w:r>
        <w:rPr>
          <w:rFonts w:hint="default" w:ascii="Times New Roman" w:hAnsi="Times New Roman" w:eastAsia="宋体" w:cs="Times New Roman"/>
        </w:rPr>
        <w:t xml:space="preserve"> 噪声检测结果</w:t>
      </w:r>
      <w:bookmarkEnd w:id="282"/>
      <w:bookmarkEnd w:id="283"/>
      <w:bookmarkEnd w:id="284"/>
      <w:bookmarkEnd w:id="285"/>
      <w:bookmarkEnd w:id="286"/>
      <w:bookmarkEnd w:id="287"/>
    </w:p>
    <w:p>
      <w:pPr>
        <w:jc w:val="center"/>
        <w:rPr>
          <w:rFonts w:hint="eastAsia" w:ascii="Times New Roman" w:hAnsi="Times New Roman" w:eastAsia="宋体" w:cs="Times New Roman"/>
          <w:b/>
          <w:sz w:val="24"/>
          <w:szCs w:val="24"/>
          <w:lang w:eastAsia="zh-CN"/>
        </w:rPr>
      </w:pPr>
      <w:r>
        <w:rPr>
          <w:rFonts w:hint="eastAsia" w:ascii="Times New Roman" w:hAnsi="Times New Roman" w:cs="Times New Roman"/>
          <w:b/>
          <w:sz w:val="24"/>
          <w:szCs w:val="24"/>
          <w:lang w:val="en-US" w:eastAsia="zh-CN"/>
        </w:rPr>
        <w:t xml:space="preserve">                 </w:t>
      </w:r>
      <w:r>
        <w:rPr>
          <w:rFonts w:hint="default" w:ascii="Times New Roman" w:hAnsi="Times New Roman" w:eastAsia="宋体" w:cs="Times New Roman"/>
          <w:b/>
          <w:sz w:val="24"/>
          <w:szCs w:val="24"/>
        </w:rPr>
        <w:t>表 7-</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厂界噪声检测结果</w:t>
      </w:r>
      <w:r>
        <w:rPr>
          <w:rFonts w:hint="eastAsia" w:ascii="Times New Roman" w:hAnsi="Times New Roman" w:cs="Times New Roman"/>
          <w:b/>
          <w:sz w:val="24"/>
          <w:szCs w:val="24"/>
          <w:lang w:val="en-US" w:eastAsia="zh-CN"/>
        </w:rPr>
        <w:t xml:space="preserve">          </w:t>
      </w:r>
      <w:r>
        <w:rPr>
          <w:rFonts w:hint="eastAsia" w:ascii="Times New Roman" w:hAnsi="Times New Roman" w:cs="Times New Roman"/>
          <w:b/>
          <w:sz w:val="24"/>
          <w:szCs w:val="24"/>
          <w:lang w:eastAsia="zh-CN"/>
        </w:rPr>
        <w:t>单位：dB(A)</w:t>
      </w:r>
    </w:p>
    <w:tbl>
      <w:tblPr>
        <w:tblStyle w:val="22"/>
        <w:tblpPr w:leftFromText="180" w:rightFromText="180" w:vertAnchor="text" w:tblpX="-179" w:tblpY="1"/>
        <w:tblOverlap w:val="never"/>
        <w:tblW w:w="93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3"/>
        <w:gridCol w:w="1213"/>
        <w:gridCol w:w="2091"/>
        <w:gridCol w:w="1612"/>
        <w:gridCol w:w="1800"/>
        <w:gridCol w:w="11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4727" w:type="dxa"/>
            <w:gridSpan w:val="3"/>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bookmarkStart w:id="288" w:name="_Toc21685"/>
            <w:bookmarkStart w:id="289" w:name="_Toc5560"/>
            <w:bookmarkStart w:id="290" w:name="_Toc26119"/>
            <w:bookmarkStart w:id="291" w:name="_Toc11285"/>
            <w:r>
              <w:rPr>
                <w:rFonts w:hint="default" w:ascii="Times New Roman" w:hAnsi="Times New Roman" w:eastAsia="宋体" w:cs="Times New Roman"/>
                <w:spacing w:val="0"/>
                <w:sz w:val="21"/>
                <w:szCs w:val="21"/>
                <w:lang w:val="en-US" w:eastAsia="zh-CN"/>
              </w:rPr>
              <w:t>检测时间及点位</w:t>
            </w:r>
          </w:p>
        </w:tc>
        <w:tc>
          <w:tcPr>
            <w:tcW w:w="1612"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检测结果</w:t>
            </w:r>
          </w:p>
        </w:tc>
        <w:tc>
          <w:tcPr>
            <w:tcW w:w="1800"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标准限值</w:t>
            </w: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2020.08.24</w:t>
            </w: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1#</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南</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18:00~18:10</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57.5</w:t>
            </w:r>
          </w:p>
        </w:tc>
        <w:tc>
          <w:tcPr>
            <w:tcW w:w="1800" w:type="dxa"/>
            <w:vMerge w:val="restar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昼间≤6</w:t>
            </w:r>
            <w:r>
              <w:rPr>
                <w:rFonts w:hint="eastAsia" w:ascii="Times New Roman" w:hAnsi="Times New Roman" w:eastAsia="宋体" w:cs="Times New Roman"/>
                <w:spacing w:val="0"/>
                <w:sz w:val="21"/>
                <w:szCs w:val="21"/>
                <w:lang w:val="en-US" w:eastAsia="zh-CN"/>
              </w:rPr>
              <w:t>0</w:t>
            </w:r>
            <w:r>
              <w:rPr>
                <w:rFonts w:hint="default" w:ascii="Times New Roman" w:hAnsi="Times New Roman" w:eastAsia="宋体" w:cs="Times New Roman"/>
                <w:spacing w:val="0"/>
                <w:sz w:val="21"/>
                <w:szCs w:val="21"/>
                <w:lang w:val="en-US" w:eastAsia="zh-CN"/>
              </w:rPr>
              <w:t>（70）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夜间≤5</w:t>
            </w:r>
            <w:r>
              <w:rPr>
                <w:rFonts w:hint="eastAsia" w:ascii="Times New Roman" w:hAnsi="Times New Roman" w:eastAsia="宋体" w:cs="Times New Roman"/>
                <w:spacing w:val="0"/>
                <w:sz w:val="21"/>
                <w:szCs w:val="21"/>
                <w:lang w:val="en-US" w:eastAsia="zh-CN"/>
              </w:rPr>
              <w:t>0（55）</w:t>
            </w: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22:03~22:13</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47.3</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2#</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东</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18:14~18:24</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56.3</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22:18~22:28</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46.9</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3#</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北</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18:29~18:39</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55.5</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22:33~22:43</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45.9</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4#</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西</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18:45~18:55</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58.7</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22:47~22:57</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44.8</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2020.08.25</w:t>
            </w: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both"/>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1#</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南</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18:08~18:18</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52.4</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22:02~22:12</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48.1</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both"/>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2#</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东</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18:21~18:31</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57.8</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22:16~22:26</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46.5</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both"/>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3#</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北</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18:35~18:45</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58.8</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22:31~22:41</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46.8</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restar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color w:val="auto"/>
                <w:spacing w:val="0"/>
                <w:sz w:val="21"/>
                <w:szCs w:val="21"/>
                <w:highlight w:val="none"/>
              </w:rPr>
              <w:t>4#</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西</w:t>
            </w:r>
            <w:r>
              <w:rPr>
                <w:rFonts w:hint="default" w:ascii="Times New Roman" w:hAnsi="Times New Roman" w:eastAsia="宋体" w:cs="Times New Roman"/>
                <w:color w:val="auto"/>
                <w:spacing w:val="0"/>
                <w:sz w:val="21"/>
                <w:szCs w:val="21"/>
                <w:highlight w:val="none"/>
                <w:lang w:eastAsia="zh-CN"/>
              </w:rPr>
              <w:t>侧）</w:t>
            </w: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18:50~19:00</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58.5</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1213" w:type="dxa"/>
            <w:vMerge w:val="continue"/>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p>
        </w:tc>
        <w:tc>
          <w:tcPr>
            <w:tcW w:w="2091"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22:45~22:55</w:t>
            </w:r>
          </w:p>
        </w:tc>
        <w:tc>
          <w:tcPr>
            <w:tcW w:w="1612" w:type="dxa"/>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pacing w:val="0"/>
                <w:sz w:val="21"/>
                <w:szCs w:val="21"/>
                <w:lang w:val="en-US" w:eastAsia="zh-CN"/>
              </w:rPr>
            </w:pPr>
            <w:r>
              <w:rPr>
                <w:rFonts w:hint="default" w:ascii="Times New Roman" w:hAnsi="Times New Roman" w:cs="Times New Roman"/>
                <w:spacing w:val="0"/>
                <w:sz w:val="21"/>
                <w:szCs w:val="21"/>
                <w:lang w:val="en-US" w:eastAsia="zh-CN"/>
              </w:rPr>
              <w:t>47.5</w:t>
            </w:r>
          </w:p>
        </w:tc>
        <w:tc>
          <w:tcPr>
            <w:tcW w:w="1800" w:type="dxa"/>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p>
        </w:tc>
        <w:tc>
          <w:tcPr>
            <w:tcW w:w="1165"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1423"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备注</w:t>
            </w:r>
          </w:p>
        </w:tc>
        <w:tc>
          <w:tcPr>
            <w:tcW w:w="7881" w:type="dxa"/>
            <w:gridSpan w:val="5"/>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left"/>
              <w:textAlignment w:val="auto"/>
              <w:outlineLvl w:val="9"/>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东、</w:t>
            </w:r>
            <w:r>
              <w:rPr>
                <w:rFonts w:hint="eastAsia" w:ascii="Times New Roman" w:hAnsi="Times New Roman" w:eastAsia="宋体" w:cs="Times New Roman"/>
                <w:spacing w:val="0"/>
                <w:sz w:val="21"/>
                <w:szCs w:val="21"/>
                <w:lang w:val="en-US" w:eastAsia="zh-CN"/>
              </w:rPr>
              <w:t>北</w:t>
            </w:r>
            <w:r>
              <w:rPr>
                <w:rFonts w:hint="default" w:ascii="Times New Roman" w:hAnsi="Times New Roman" w:eastAsia="宋体" w:cs="Times New Roman"/>
                <w:spacing w:val="0"/>
                <w:sz w:val="21"/>
                <w:szCs w:val="21"/>
                <w:lang w:val="en-US" w:eastAsia="zh-CN"/>
              </w:rPr>
              <w:t>、南厂界执行《工业企业厂界环境噪声排放标准》（GB 12348-2008）</w:t>
            </w:r>
            <w:r>
              <w:rPr>
                <w:rFonts w:hint="eastAsia" w:ascii="Times New Roman" w:hAnsi="Times New Roman" w:eastAsia="宋体" w:cs="Times New Roman"/>
                <w:spacing w:val="0"/>
                <w:sz w:val="21"/>
                <w:szCs w:val="21"/>
                <w:lang w:val="en-US" w:eastAsia="zh-CN"/>
              </w:rPr>
              <w:t>2</w:t>
            </w:r>
            <w:r>
              <w:rPr>
                <w:rFonts w:hint="default" w:ascii="Times New Roman" w:hAnsi="Times New Roman" w:eastAsia="宋体" w:cs="Times New Roman"/>
                <w:spacing w:val="0"/>
                <w:sz w:val="21"/>
                <w:szCs w:val="21"/>
                <w:lang w:val="en-US" w:eastAsia="zh-CN"/>
              </w:rPr>
              <w:t>类标准限值；</w:t>
            </w:r>
            <w:r>
              <w:rPr>
                <w:rFonts w:hint="eastAsia" w:ascii="Times New Roman" w:hAnsi="Times New Roman" w:eastAsia="宋体" w:cs="Times New Roman"/>
                <w:spacing w:val="0"/>
                <w:sz w:val="21"/>
                <w:szCs w:val="21"/>
                <w:lang w:val="en-US" w:eastAsia="zh-CN"/>
              </w:rPr>
              <w:t>西</w:t>
            </w:r>
            <w:r>
              <w:rPr>
                <w:rFonts w:hint="default" w:ascii="Times New Roman" w:hAnsi="Times New Roman" w:eastAsia="宋体" w:cs="Times New Roman"/>
                <w:spacing w:val="0"/>
                <w:sz w:val="21"/>
                <w:szCs w:val="21"/>
                <w:lang w:val="en-US" w:eastAsia="zh-CN"/>
              </w:rPr>
              <w:t>厂界执行《工业企业厂界环境噪声排放标准》（GB 12348-2008）4类标准限值</w:t>
            </w:r>
          </w:p>
        </w:tc>
      </w:tr>
    </w:tbl>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7.2 检测结果分析</w:t>
      </w:r>
      <w:bookmarkEnd w:id="288"/>
      <w:bookmarkEnd w:id="289"/>
      <w:bookmarkEnd w:id="290"/>
      <w:bookmarkEnd w:id="291"/>
    </w:p>
    <w:p>
      <w:pPr>
        <w:pStyle w:val="5"/>
        <w:keepNext w:val="0"/>
        <w:keepLines w:val="0"/>
        <w:pageBreakBefore w:val="0"/>
        <w:widowControl w:val="0"/>
        <w:kinsoku/>
        <w:wordWrap/>
        <w:overflowPunct/>
        <w:topLinePunct w:val="0"/>
        <w:autoSpaceDE/>
        <w:autoSpaceDN/>
        <w:bidi w:val="0"/>
        <w:snapToGrid/>
        <w:spacing w:line="360" w:lineRule="auto"/>
        <w:textAlignment w:val="auto"/>
        <w:rPr>
          <w:rFonts w:hint="default" w:ascii="Times New Roman" w:hAnsi="Times New Roman" w:eastAsia="宋体" w:cs="Times New Roman"/>
        </w:rPr>
      </w:pPr>
      <w:bookmarkStart w:id="292" w:name="_Toc24171"/>
      <w:bookmarkStart w:id="293" w:name="_Toc9795"/>
      <w:bookmarkStart w:id="294" w:name="_Toc3228"/>
      <w:bookmarkStart w:id="295" w:name="_Toc31512"/>
      <w:bookmarkStart w:id="296" w:name="_Toc497001493"/>
      <w:bookmarkStart w:id="297" w:name="_Toc30843"/>
      <w:r>
        <w:rPr>
          <w:rFonts w:hint="default" w:ascii="Times New Roman" w:hAnsi="Times New Roman" w:eastAsia="宋体" w:cs="Times New Roman"/>
        </w:rPr>
        <w:t>7.2.1 废气检测结果</w:t>
      </w:r>
      <w:bookmarkEnd w:id="292"/>
      <w:bookmarkEnd w:id="293"/>
      <w:bookmarkEnd w:id="294"/>
      <w:bookmarkEnd w:id="295"/>
      <w:bookmarkEnd w:id="296"/>
      <w:bookmarkEnd w:id="297"/>
    </w:p>
    <w:p>
      <w:pPr>
        <w:keepNext w:val="0"/>
        <w:keepLines w:val="0"/>
        <w:pageBreakBefore w:val="0"/>
        <w:widowControl w:val="0"/>
        <w:kinsoku/>
        <w:wordWrap/>
        <w:overflowPunct/>
        <w:topLinePunct w:val="0"/>
        <w:bidi w:val="0"/>
        <w:spacing w:line="420" w:lineRule="exact"/>
        <w:ind w:firstLine="480" w:firstLineChars="200"/>
        <w:jc w:val="both"/>
        <w:textAlignment w:val="auto"/>
        <w:rPr>
          <w:rFonts w:hint="default" w:ascii="Times New Roman" w:hAnsi="Times New Roman" w:eastAsia="宋体" w:cs="Times New Roman"/>
          <w:color w:val="auto"/>
          <w:w w:val="100"/>
          <w:sz w:val="24"/>
          <w:szCs w:val="24"/>
          <w:shd w:val="clear" w:color="auto" w:fill="auto"/>
          <w:lang w:val="en-US" w:eastAsia="zh-CN"/>
        </w:rPr>
      </w:pPr>
      <w:bookmarkStart w:id="298" w:name="_Toc4404"/>
      <w:bookmarkStart w:id="299" w:name="_Toc5876"/>
      <w:bookmarkStart w:id="300" w:name="_Toc23179"/>
      <w:bookmarkStart w:id="301" w:name="_Toc1065"/>
      <w:bookmarkStart w:id="302" w:name="_Toc497001494"/>
      <w:bookmarkStart w:id="303" w:name="_Toc10877"/>
      <w:r>
        <w:rPr>
          <w:rFonts w:hint="eastAsia" w:ascii="Times New Roman" w:hAnsi="Times New Roman" w:eastAsia="宋体" w:cs="Times New Roman"/>
          <w:color w:val="auto"/>
          <w:sz w:val="24"/>
          <w:szCs w:val="24"/>
          <w:lang w:val="en-US" w:eastAsia="zh-CN"/>
        </w:rPr>
        <w:t>调漆、喷漆和烘烤工序废气经</w:t>
      </w:r>
      <w:r>
        <w:rPr>
          <w:rFonts w:hint="eastAsia" w:ascii="Times New Roman" w:hAnsi="Times New Roman" w:cs="Times New Roman"/>
          <w:color w:val="auto"/>
          <w:sz w:val="24"/>
          <w:szCs w:val="24"/>
          <w:lang w:val="en-US" w:eastAsia="zh-CN"/>
        </w:rPr>
        <w:t>过滤棉+</w:t>
      </w:r>
      <w:r>
        <w:rPr>
          <w:rFonts w:hint="eastAsia" w:ascii="Times New Roman" w:hAnsi="Times New Roman" w:eastAsia="宋体" w:cs="Times New Roman"/>
          <w:color w:val="auto"/>
          <w:sz w:val="24"/>
          <w:szCs w:val="24"/>
          <w:lang w:val="en-US" w:eastAsia="zh-CN"/>
        </w:rPr>
        <w:t>光氧催化装置+</w:t>
      </w:r>
      <w:r>
        <w:rPr>
          <w:rFonts w:hint="eastAsia" w:ascii="Times New Roman" w:hAnsi="Times New Roman" w:eastAsia="宋体" w:cs="Times New Roman"/>
          <w:color w:val="auto"/>
          <w:sz w:val="24"/>
          <w:szCs w:val="24"/>
          <w:lang w:eastAsia="zh-CN"/>
        </w:rPr>
        <w:t>活性炭吸附装置</w:t>
      </w:r>
      <w:r>
        <w:rPr>
          <w:rFonts w:hint="eastAsia" w:ascii="Times New Roman" w:hAnsi="Times New Roman" w:eastAsia="宋体" w:cs="Times New Roman"/>
          <w:color w:val="auto"/>
          <w:sz w:val="24"/>
          <w:szCs w:val="24"/>
          <w:lang w:val="en-US" w:eastAsia="zh-CN"/>
        </w:rPr>
        <w:t>处理后，</w:t>
      </w:r>
      <w:r>
        <w:rPr>
          <w:rFonts w:hint="default" w:ascii="Times New Roman" w:hAnsi="Times New Roman" w:eastAsia="宋体" w:cs="Times New Roman"/>
          <w:color w:val="auto"/>
          <w:sz w:val="24"/>
          <w:szCs w:val="24"/>
          <w:lang w:val="en-US" w:eastAsia="zh-CN"/>
        </w:rPr>
        <w:t>由1根15m高排气筒排放</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外排废气中</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颗粒物最高排放浓度为</w:t>
      </w:r>
      <w:r>
        <w:rPr>
          <w:rFonts w:hint="eastAsia"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最高排放速率为0.009k</w:t>
      </w:r>
      <w:r>
        <w:rPr>
          <w:rFonts w:hint="default" w:ascii="Times New Roman" w:hAnsi="Times New Roman" w:eastAsia="宋体" w:cs="Times New Roman"/>
          <w:color w:val="auto"/>
          <w:sz w:val="24"/>
          <w:szCs w:val="24"/>
          <w:lang w:val="en-US" w:eastAsia="zh-CN"/>
        </w:rPr>
        <w:t>g/</w:t>
      </w:r>
      <w:r>
        <w:rPr>
          <w:rFonts w:hint="eastAsia" w:ascii="Times New Roman" w:hAnsi="Times New Roman" w:eastAsia="宋体" w:cs="Times New Roman"/>
          <w:color w:val="auto"/>
          <w:sz w:val="24"/>
          <w:szCs w:val="24"/>
          <w:lang w:val="en-US" w:eastAsia="zh-CN"/>
        </w:rPr>
        <w:t>h，均</w:t>
      </w:r>
      <w:r>
        <w:rPr>
          <w:rFonts w:hint="default" w:ascii="Times New Roman" w:hAnsi="Times New Roman" w:eastAsia="宋体" w:cs="Times New Roman"/>
          <w:color w:val="auto"/>
          <w:sz w:val="24"/>
          <w:szCs w:val="24"/>
          <w:lang w:val="en-US" w:eastAsia="zh-CN"/>
        </w:rPr>
        <w:t>满足</w:t>
      </w:r>
      <w:r>
        <w:rPr>
          <w:rFonts w:hint="default" w:ascii="Times New Roman" w:hAnsi="Times New Roman" w:eastAsia="宋体" w:cs="Times New Roman"/>
          <w:sz w:val="24"/>
          <w:szCs w:val="24"/>
          <w:lang w:val="en-US" w:eastAsia="zh-CN"/>
        </w:rPr>
        <w:t>《大气污染物综合排放标准》（GB16297-1996）表2</w:t>
      </w:r>
      <w:r>
        <w:rPr>
          <w:rFonts w:hint="eastAsia" w:ascii="Times New Roman" w:hAnsi="Times New Roman" w:eastAsia="宋体" w:cs="Times New Roman"/>
          <w:sz w:val="24"/>
          <w:szCs w:val="24"/>
          <w:lang w:val="en-US" w:eastAsia="zh-CN"/>
        </w:rPr>
        <w:t>中颗粒物染料尘</w:t>
      </w:r>
      <w:r>
        <w:rPr>
          <w:rFonts w:hint="default" w:ascii="Times New Roman" w:hAnsi="Times New Roman" w:eastAsia="宋体" w:cs="Times New Roman"/>
          <w:sz w:val="24"/>
          <w:szCs w:val="24"/>
          <w:lang w:val="en-US" w:eastAsia="zh-CN"/>
        </w:rPr>
        <w:t>二级标准排放限值</w:t>
      </w:r>
      <w:r>
        <w:rPr>
          <w:rFonts w:hint="eastAsia" w:ascii="Times New Roman" w:hAnsi="Times New Roman" w:eastAsia="宋体" w:cs="Times New Roman"/>
          <w:sz w:val="24"/>
          <w:szCs w:val="24"/>
          <w:lang w:val="en-US" w:eastAsia="zh-CN"/>
        </w:rPr>
        <w:t>要求</w:t>
      </w:r>
      <w:r>
        <w:rPr>
          <w:rFonts w:hint="default" w:ascii="Times New Roman" w:hAnsi="Times New Roman" w:eastAsia="宋体" w:cs="Times New Roman"/>
          <w:color w:val="auto"/>
          <w:sz w:val="24"/>
          <w:szCs w:val="24"/>
          <w:lang w:val="en-US" w:eastAsia="zh-CN"/>
        </w:rPr>
        <w:t>（颗粒物≤</w:t>
      </w:r>
      <w:r>
        <w:rPr>
          <w:rFonts w:hint="eastAsia" w:ascii="Times New Roman" w:hAnsi="Times New Roman" w:eastAsia="宋体" w:cs="Times New Roman"/>
          <w:color w:val="auto"/>
          <w:sz w:val="24"/>
          <w:szCs w:val="24"/>
          <w:lang w:val="en-US" w:eastAsia="zh-CN"/>
        </w:rPr>
        <w:t>18</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eastAsia" w:ascii="Times New Roman" w:hAnsi="Times New Roman" w:eastAsia="宋体" w:cs="Times New Roman"/>
          <w:color w:val="auto"/>
          <w:sz w:val="24"/>
          <w:szCs w:val="24"/>
          <w:vertAlign w:val="baseline"/>
          <w:lang w:val="en-US" w:eastAsia="zh-CN"/>
        </w:rPr>
        <w:t>，排放速率</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0.51k</w:t>
      </w:r>
      <w:r>
        <w:rPr>
          <w:rFonts w:hint="default" w:ascii="Times New Roman" w:hAnsi="Times New Roman" w:eastAsia="宋体" w:cs="Times New Roman"/>
          <w:color w:val="auto"/>
          <w:sz w:val="24"/>
          <w:szCs w:val="24"/>
          <w:lang w:val="en-US" w:eastAsia="zh-CN"/>
        </w:rPr>
        <w:t>g/</w:t>
      </w:r>
      <w:r>
        <w:rPr>
          <w:rFonts w:hint="eastAsia" w:ascii="Times New Roman" w:hAnsi="Times New Roman" w:eastAsia="宋体" w:cs="Times New Roman"/>
          <w:color w:val="auto"/>
          <w:sz w:val="24"/>
          <w:szCs w:val="24"/>
          <w:lang w:val="en-US" w:eastAsia="zh-CN"/>
        </w:rPr>
        <w:t>h</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w w:val="100"/>
          <w:sz w:val="24"/>
          <w:szCs w:val="24"/>
          <w:shd w:val="clear" w:color="auto" w:fill="auto"/>
          <w:lang w:val="en-US" w:eastAsia="zh-CN"/>
        </w:rPr>
        <w:t>。</w:t>
      </w:r>
      <w:r>
        <w:rPr>
          <w:rFonts w:hint="default" w:ascii="Times New Roman" w:hAnsi="Times New Roman" w:eastAsia="宋体" w:cs="Times New Roman"/>
          <w:color w:val="auto"/>
          <w:sz w:val="24"/>
          <w:szCs w:val="24"/>
          <w:lang w:val="en-US" w:eastAsia="zh-CN"/>
        </w:rPr>
        <w:t>非甲烷总烃最高排放浓度为</w:t>
      </w:r>
      <w:r>
        <w:rPr>
          <w:rFonts w:hint="eastAsia" w:ascii="Times New Roman" w:hAnsi="Times New Roman" w:eastAsia="宋体" w:cs="Times New Roman"/>
          <w:color w:val="auto"/>
          <w:sz w:val="24"/>
          <w:szCs w:val="24"/>
          <w:lang w:val="en-US" w:eastAsia="zh-CN"/>
        </w:rPr>
        <w:t>1.60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苯、</w:t>
      </w:r>
      <w:r>
        <w:rPr>
          <w:rFonts w:hint="default" w:ascii="Times New Roman" w:hAnsi="Times New Roman" w:cs="Times New Roman"/>
          <w:color w:val="auto"/>
          <w:spacing w:val="0"/>
          <w:sz w:val="24"/>
          <w:szCs w:val="24"/>
          <w:highlight w:val="none"/>
          <w:lang w:val="en-US" w:eastAsia="zh-CN"/>
        </w:rPr>
        <w:t>甲苯</w:t>
      </w:r>
      <w:r>
        <w:rPr>
          <w:rFonts w:hint="eastAsia" w:ascii="Times New Roman" w:hAnsi="Times New Roman" w:cs="Times New Roman"/>
          <w:color w:val="auto"/>
          <w:spacing w:val="0"/>
          <w:sz w:val="24"/>
          <w:szCs w:val="24"/>
          <w:highlight w:val="none"/>
          <w:lang w:val="en-US" w:eastAsia="zh-CN"/>
        </w:rPr>
        <w:t>+</w:t>
      </w:r>
      <w:r>
        <w:rPr>
          <w:rFonts w:hint="default" w:ascii="Times New Roman" w:hAnsi="Times New Roman" w:cs="Times New Roman"/>
          <w:color w:val="auto"/>
          <w:spacing w:val="0"/>
          <w:sz w:val="24"/>
          <w:szCs w:val="24"/>
          <w:highlight w:val="none"/>
          <w:lang w:val="en-US" w:eastAsia="zh-CN"/>
        </w:rPr>
        <w:t>二甲苯</w:t>
      </w:r>
      <w:r>
        <w:rPr>
          <w:rFonts w:hint="eastAsia" w:ascii="Times New Roman" w:hAnsi="Times New Roman" w:eastAsia="宋体" w:cs="Times New Roman"/>
          <w:color w:val="auto"/>
          <w:sz w:val="24"/>
          <w:szCs w:val="24"/>
          <w:lang w:val="en-US" w:eastAsia="zh-CN"/>
        </w:rPr>
        <w:t>均未检出</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均</w:t>
      </w:r>
      <w:r>
        <w:rPr>
          <w:rFonts w:hint="default" w:ascii="Times New Roman" w:hAnsi="Times New Roman" w:eastAsia="宋体" w:cs="Times New Roman"/>
          <w:color w:val="auto"/>
          <w:sz w:val="24"/>
          <w:szCs w:val="24"/>
          <w:lang w:val="en-US" w:eastAsia="zh-CN"/>
        </w:rPr>
        <w:t>满足《工业企业挥发性有机物排放控制标准》（DB13/2322-2016）表1中</w:t>
      </w:r>
      <w:r>
        <w:rPr>
          <w:rFonts w:hint="eastAsia" w:ascii="Times New Roman" w:hAnsi="Times New Roman" w:eastAsia="宋体" w:cs="Times New Roman"/>
          <w:color w:val="auto"/>
          <w:sz w:val="24"/>
          <w:szCs w:val="24"/>
          <w:lang w:val="en-US" w:eastAsia="zh-CN"/>
        </w:rPr>
        <w:t>表面涂装业</w:t>
      </w:r>
      <w:r>
        <w:rPr>
          <w:rFonts w:hint="default" w:ascii="Times New Roman" w:hAnsi="Times New Roman" w:eastAsia="宋体" w:cs="Times New Roman"/>
          <w:color w:val="auto"/>
          <w:sz w:val="24"/>
          <w:szCs w:val="24"/>
          <w:lang w:val="en-US" w:eastAsia="zh-CN"/>
        </w:rPr>
        <w:t>排放限值要求（</w:t>
      </w:r>
      <w:r>
        <w:rPr>
          <w:rFonts w:hint="default" w:ascii="Times New Roman" w:hAnsi="Times New Roman" w:cs="Times New Roman"/>
          <w:color w:val="auto"/>
          <w:sz w:val="24"/>
          <w:szCs w:val="24"/>
          <w:highlight w:val="none"/>
          <w:lang w:val="en-US" w:eastAsia="zh-CN"/>
        </w:rPr>
        <w:t>非甲烷总烃</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60</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cs="Times New Roman"/>
          <w:color w:val="auto"/>
          <w:sz w:val="24"/>
          <w:szCs w:val="24"/>
          <w:highlight w:val="none"/>
          <w:vertAlign w:val="baseline"/>
          <w:lang w:val="en-US" w:eastAsia="zh-CN"/>
        </w:rPr>
        <w:t>，</w:t>
      </w:r>
      <w:r>
        <w:rPr>
          <w:rFonts w:hint="eastAsia" w:ascii="Times New Roman" w:hAnsi="Times New Roman" w:cs="Times New Roman"/>
          <w:color w:val="auto"/>
          <w:sz w:val="24"/>
          <w:szCs w:val="24"/>
          <w:highlight w:val="none"/>
          <w:vertAlign w:val="baseline"/>
          <w:lang w:val="en-US" w:eastAsia="zh-CN"/>
        </w:rPr>
        <w:t>苯</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1</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cs="Times New Roman"/>
          <w:color w:val="auto"/>
          <w:sz w:val="24"/>
          <w:szCs w:val="24"/>
          <w:highlight w:val="none"/>
          <w:vertAlign w:val="baseline"/>
          <w:lang w:val="en-US" w:eastAsia="zh-CN"/>
        </w:rPr>
        <w:t>，甲苯+二甲苯</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非甲烷总烃最低去除效率为58.4%，不满足</w:t>
      </w:r>
      <w:r>
        <w:rPr>
          <w:rFonts w:hint="default" w:ascii="Times New Roman" w:hAnsi="Times New Roman" w:eastAsia="宋体" w:cs="Times New Roman"/>
          <w:color w:val="auto"/>
          <w:sz w:val="24"/>
          <w:szCs w:val="24"/>
          <w:lang w:val="en-US" w:eastAsia="zh-CN"/>
        </w:rPr>
        <w:t>《工业企业挥发性有机物排放控制标准》（DB13/2322-2016）表1中</w:t>
      </w:r>
      <w:r>
        <w:rPr>
          <w:rFonts w:hint="eastAsia" w:ascii="Times New Roman" w:hAnsi="Times New Roman" w:eastAsia="宋体" w:cs="Times New Roman"/>
          <w:color w:val="auto"/>
          <w:sz w:val="24"/>
          <w:szCs w:val="24"/>
          <w:lang w:val="en-US" w:eastAsia="zh-CN"/>
        </w:rPr>
        <w:t>表面涂装业</w:t>
      </w:r>
      <w:r>
        <w:rPr>
          <w:rFonts w:hint="default" w:ascii="Times New Roman" w:hAnsi="Times New Roman" w:eastAsia="宋体" w:cs="Times New Roman"/>
          <w:color w:val="auto"/>
          <w:sz w:val="24"/>
          <w:szCs w:val="24"/>
          <w:lang w:val="en-US" w:eastAsia="zh-CN"/>
        </w:rPr>
        <w:t>排放限值要求（</w:t>
      </w:r>
      <w:r>
        <w:rPr>
          <w:rFonts w:hint="default" w:ascii="Times New Roman" w:hAnsi="Times New Roman" w:cs="Times New Roman"/>
          <w:color w:val="auto"/>
          <w:sz w:val="24"/>
          <w:szCs w:val="24"/>
          <w:highlight w:val="none"/>
          <w:lang w:val="en-US" w:eastAsia="zh-CN"/>
        </w:rPr>
        <w:t>非甲烷总烃≥70%）</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加测车间有机废气</w:t>
      </w:r>
      <w:r>
        <w:rPr>
          <w:rFonts w:hint="default" w:ascii="Times New Roman" w:hAnsi="Times New Roman" w:eastAsia="宋体" w:cs="Times New Roman"/>
          <w:color w:val="auto"/>
          <w:w w:val="100"/>
          <w:sz w:val="24"/>
          <w:szCs w:val="24"/>
          <w:shd w:val="clear" w:color="auto" w:fill="auto"/>
          <w:lang w:val="en-US" w:eastAsia="zh-CN"/>
        </w:rPr>
        <w:t>。</w:t>
      </w:r>
    </w:p>
    <w:p>
      <w:pPr>
        <w:keepNext w:val="0"/>
        <w:keepLines w:val="0"/>
        <w:pageBreakBefore w:val="0"/>
        <w:widowControl w:val="0"/>
        <w:kinsoku/>
        <w:wordWrap/>
        <w:overflowPunct/>
        <w:topLinePunct w:val="0"/>
        <w:bidi w:val="0"/>
        <w:spacing w:line="420" w:lineRule="exact"/>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厂界无组织废气中，非甲烷总烃最高排放浓度为</w:t>
      </w:r>
      <w:r>
        <w:rPr>
          <w:rFonts w:hint="eastAsia" w:ascii="Times New Roman" w:hAnsi="Times New Roman" w:eastAsia="宋体" w:cs="Times New Roman"/>
          <w:color w:val="auto"/>
          <w:sz w:val="24"/>
          <w:szCs w:val="24"/>
          <w:lang w:val="en-US" w:eastAsia="zh-CN"/>
        </w:rPr>
        <w:t>0.81</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苯、甲苯、二甲苯均未检出，均</w:t>
      </w:r>
      <w:r>
        <w:rPr>
          <w:rFonts w:hint="default" w:ascii="Times New Roman" w:hAnsi="Times New Roman" w:eastAsia="宋体" w:cs="Times New Roman"/>
          <w:color w:val="auto"/>
          <w:sz w:val="24"/>
          <w:szCs w:val="24"/>
          <w:lang w:val="en-US" w:eastAsia="zh-CN"/>
        </w:rPr>
        <w:t>满足《工业企业挥发性有机物排放控制标准》（DB13/2322-2016）表2其他企业边界浓度排放限值标准要求</w:t>
      </w:r>
      <w:r>
        <w:rPr>
          <w:rFonts w:hint="default" w:ascii="Times New Roman" w:hAnsi="Times New Roman" w:cs="Times New Roman"/>
          <w:color w:val="auto"/>
          <w:spacing w:val="0"/>
          <w:sz w:val="24"/>
          <w:szCs w:val="24"/>
          <w:highlight w:val="none"/>
          <w:lang w:val="en-US" w:eastAsia="zh-CN"/>
        </w:rPr>
        <w:t>（非甲烷总烃≤2.0mg/m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苯</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0.1</w:t>
      </w:r>
      <w:r>
        <w:rPr>
          <w:rFonts w:hint="default" w:ascii="Times New Roman" w:hAnsi="Times New Roman" w:cs="Times New Roman"/>
          <w:color w:val="auto"/>
          <w:spacing w:val="0"/>
          <w:sz w:val="24"/>
          <w:szCs w:val="24"/>
          <w:highlight w:val="none"/>
          <w:lang w:val="en-US" w:eastAsia="zh-CN"/>
        </w:rPr>
        <w:t>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甲苯</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0.6</w:t>
      </w:r>
      <w:r>
        <w:rPr>
          <w:rFonts w:hint="default" w:ascii="Times New Roman" w:hAnsi="Times New Roman" w:cs="Times New Roman"/>
          <w:color w:val="auto"/>
          <w:spacing w:val="0"/>
          <w:sz w:val="24"/>
          <w:szCs w:val="24"/>
          <w:highlight w:val="none"/>
          <w:lang w:val="en-US" w:eastAsia="zh-CN"/>
        </w:rPr>
        <w:t>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二甲苯</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0.2</w:t>
      </w:r>
      <w:r>
        <w:rPr>
          <w:rFonts w:hint="default" w:ascii="Times New Roman" w:hAnsi="Times New Roman" w:cs="Times New Roman"/>
          <w:color w:val="auto"/>
          <w:spacing w:val="0"/>
          <w:sz w:val="24"/>
          <w:szCs w:val="24"/>
          <w:highlight w:val="none"/>
          <w:lang w:val="en-US" w:eastAsia="zh-CN"/>
        </w:rPr>
        <w:t>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cs="Times New Roman"/>
          <w:color w:val="auto"/>
          <w:spacing w:val="0"/>
          <w:sz w:val="24"/>
          <w:szCs w:val="24"/>
          <w:highlight w:val="none"/>
          <w:lang w:val="en-US" w:eastAsia="zh-CN"/>
        </w:rPr>
        <w:t>）</w:t>
      </w:r>
      <w:r>
        <w:rPr>
          <w:rFonts w:hint="default" w:ascii="Times New Roman" w:hAnsi="Times New Roman" w:eastAsia="宋体" w:cs="Times New Roman"/>
          <w:color w:val="auto"/>
          <w:sz w:val="24"/>
          <w:szCs w:val="24"/>
          <w:lang w:val="en-US" w:eastAsia="zh-CN"/>
        </w:rPr>
        <w:t>；颗粒物最高排放浓度为</w:t>
      </w:r>
      <w:r>
        <w:rPr>
          <w:rFonts w:hint="eastAsia" w:ascii="Times New Roman" w:hAnsi="Times New Roman" w:eastAsia="宋体" w:cs="Times New Roman"/>
          <w:color w:val="auto"/>
          <w:sz w:val="24"/>
          <w:szCs w:val="24"/>
          <w:lang w:val="en-US" w:eastAsia="zh-CN"/>
        </w:rPr>
        <w:t>0.340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w:t>
      </w:r>
      <w:r>
        <w:rPr>
          <w:rFonts w:hint="default" w:ascii="Times New Roman" w:hAnsi="Times New Roman" w:eastAsia="宋体" w:cs="Times New Roman"/>
          <w:sz w:val="24"/>
          <w:szCs w:val="24"/>
          <w:lang w:val="en-US" w:eastAsia="zh-CN"/>
        </w:rPr>
        <w:t>《大气污染物综合排放标准》（GB16297-1996）表2无组织排放监控浓度限值标准</w:t>
      </w:r>
      <w:r>
        <w:rPr>
          <w:rFonts w:hint="eastAsia" w:ascii="Times New Roman" w:hAnsi="Times New Roman" w:eastAsia="宋体" w:cs="Times New Roman"/>
          <w:sz w:val="24"/>
          <w:szCs w:val="24"/>
          <w:lang w:val="en-US" w:eastAsia="zh-CN"/>
        </w:rPr>
        <w:t>要求</w:t>
      </w:r>
      <w:r>
        <w:rPr>
          <w:rFonts w:hint="default" w:ascii="Times New Roman" w:hAnsi="Times New Roman" w:eastAsia="宋体" w:cs="Times New Roman"/>
          <w:color w:val="auto"/>
          <w:sz w:val="24"/>
          <w:szCs w:val="24"/>
          <w:lang w:val="en-US" w:eastAsia="zh-CN"/>
        </w:rPr>
        <w:t>（颗粒物≤1.0mg/m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车间无组织废气中，非甲烷总烃最高排放浓度为</w:t>
      </w:r>
      <w:r>
        <w:rPr>
          <w:rFonts w:hint="eastAsia" w:ascii="Times New Roman" w:hAnsi="Times New Roman" w:eastAsia="宋体" w:cs="Times New Roman"/>
          <w:color w:val="auto"/>
          <w:sz w:val="24"/>
          <w:szCs w:val="24"/>
          <w:lang w:val="en-US" w:eastAsia="zh-CN"/>
        </w:rPr>
        <w:t>1.12</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，满足《工业企业挥发性有机物排放控制标准》（DB13/2322-2016）表3生产车间或生产设备边界大气污染物浓度限值要求；同时满足《挥发性有机物无组织排放控制标准》（GB 37822-2019）表A.1厂区内VOCs无组织特别排放限值</w:t>
      </w:r>
      <w:r>
        <w:rPr>
          <w:rFonts w:hint="eastAsia" w:ascii="Times New Roman" w:hAnsi="Times New Roman" w:eastAsia="宋体" w:cs="Times New Roman"/>
          <w:color w:val="auto"/>
          <w:sz w:val="24"/>
          <w:szCs w:val="24"/>
          <w:lang w:val="en-US" w:eastAsia="zh-CN"/>
        </w:rPr>
        <w:t>要求</w:t>
      </w:r>
      <w:r>
        <w:rPr>
          <w:rFonts w:hint="default" w:ascii="Times New Roman" w:hAnsi="Times New Roman" w:eastAsia="宋体" w:cs="Times New Roman"/>
          <w:color w:val="auto"/>
          <w:sz w:val="24"/>
          <w:szCs w:val="24"/>
          <w:lang w:val="en-US" w:eastAsia="zh-CN"/>
        </w:rPr>
        <w:t>（非甲烷总烃≤4.0mg/m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sz w:val="24"/>
          <w:szCs w:val="24"/>
          <w:lang w:val="en-US" w:eastAsia="zh-CN"/>
        </w:rPr>
        <w:t>。</w:t>
      </w:r>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cs="Times New Roman" w:eastAsiaTheme="minorEastAsia"/>
        </w:rPr>
      </w:pPr>
      <w:r>
        <w:rPr>
          <w:rFonts w:hint="default" w:ascii="Times New Roman" w:hAnsi="Times New Roman" w:cs="Times New Roman" w:eastAsiaTheme="minorEastAsia"/>
        </w:rPr>
        <w:t>7.2.2 噪声检测结果</w:t>
      </w:r>
      <w:bookmarkEnd w:id="298"/>
      <w:bookmarkEnd w:id="299"/>
      <w:bookmarkEnd w:id="300"/>
      <w:bookmarkEnd w:id="301"/>
      <w:bookmarkEnd w:id="302"/>
      <w:bookmarkEnd w:id="303"/>
    </w:p>
    <w:p>
      <w:pPr>
        <w:keepNext w:val="0"/>
        <w:keepLines w:val="0"/>
        <w:pageBreakBefore w:val="0"/>
        <w:widowControl w:val="0"/>
        <w:kinsoku/>
        <w:wordWrap/>
        <w:overflowPunct/>
        <w:topLinePunct w:val="0"/>
        <w:bidi w:val="0"/>
        <w:spacing w:line="420" w:lineRule="exact"/>
        <w:ind w:firstLine="480" w:firstLineChars="200"/>
        <w:jc w:val="both"/>
        <w:textAlignment w:val="auto"/>
        <w:rPr>
          <w:rFonts w:hint="default" w:ascii="Times New Roman" w:hAnsi="Times New Roman" w:eastAsia="宋体" w:cs="Times New Roman"/>
          <w:color w:val="auto"/>
          <w:sz w:val="24"/>
          <w:szCs w:val="24"/>
          <w:lang w:val="en-US" w:eastAsia="zh-CN"/>
        </w:rPr>
      </w:pPr>
      <w:bookmarkStart w:id="304" w:name="_Toc19340"/>
      <w:bookmarkStart w:id="305" w:name="_Toc4679"/>
      <w:bookmarkStart w:id="306" w:name="_Toc503884785"/>
      <w:bookmarkStart w:id="307" w:name="_Toc3266"/>
      <w:r>
        <w:rPr>
          <w:rFonts w:hint="default" w:ascii="Times New Roman" w:hAnsi="Times New Roman" w:eastAsia="宋体" w:cs="Times New Roman"/>
          <w:color w:val="auto"/>
          <w:sz w:val="24"/>
          <w:szCs w:val="24"/>
          <w:lang w:val="en-US" w:eastAsia="zh-CN"/>
        </w:rPr>
        <w:t>项目</w:t>
      </w:r>
      <w:r>
        <w:rPr>
          <w:rFonts w:hint="eastAsia" w:ascii="Times New Roman" w:hAnsi="Times New Roman" w:eastAsia="宋体" w:cs="Times New Roman"/>
          <w:color w:val="auto"/>
          <w:sz w:val="24"/>
          <w:szCs w:val="24"/>
          <w:lang w:val="en-US" w:eastAsia="zh-CN"/>
        </w:rPr>
        <w:t>东、北、南</w:t>
      </w:r>
      <w:r>
        <w:rPr>
          <w:rFonts w:hint="default" w:ascii="Times New Roman" w:hAnsi="Times New Roman" w:eastAsia="宋体" w:cs="Times New Roman"/>
          <w:color w:val="auto"/>
          <w:sz w:val="24"/>
          <w:szCs w:val="24"/>
          <w:lang w:val="en-US" w:eastAsia="zh-CN"/>
        </w:rPr>
        <w:t>厂界噪声昼间值范围为</w:t>
      </w:r>
      <w:r>
        <w:rPr>
          <w:rFonts w:hint="eastAsia" w:ascii="Times New Roman" w:hAnsi="Times New Roman" w:eastAsia="宋体" w:cs="Times New Roman"/>
          <w:color w:val="auto"/>
          <w:sz w:val="24"/>
          <w:szCs w:val="24"/>
          <w:lang w:val="en-US" w:eastAsia="zh-CN"/>
        </w:rPr>
        <w:t>52.4</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58.8</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w:t>
      </w:r>
      <w:r>
        <w:rPr>
          <w:rFonts w:hint="default" w:ascii="Times New Roman" w:hAnsi="Times New Roman" w:eastAsia="宋体" w:cs="Times New Roman"/>
          <w:color w:val="auto"/>
          <w:sz w:val="24"/>
          <w:szCs w:val="24"/>
          <w:lang w:val="en-US" w:eastAsia="zh-CN"/>
        </w:rPr>
        <w:t>间值范围为</w:t>
      </w:r>
      <w:r>
        <w:rPr>
          <w:rFonts w:hint="eastAsia" w:ascii="Times New Roman" w:hAnsi="Times New Roman" w:eastAsia="宋体" w:cs="Times New Roman"/>
          <w:color w:val="auto"/>
          <w:sz w:val="24"/>
          <w:szCs w:val="24"/>
          <w:lang w:val="en-US" w:eastAsia="zh-CN"/>
        </w:rPr>
        <w:t>45.9~48.1</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，均</w:t>
      </w:r>
      <w:r>
        <w:rPr>
          <w:rFonts w:hint="default" w:ascii="Times New Roman" w:hAnsi="Times New Roman" w:eastAsia="宋体" w:cs="Times New Roman"/>
          <w:color w:val="auto"/>
          <w:sz w:val="24"/>
          <w:szCs w:val="24"/>
          <w:lang w:val="en-US" w:eastAsia="zh-CN"/>
        </w:rPr>
        <w:t>满足《工业企业厂界环境噪声排放标准》（GB 12348-2008）中</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类标准限值要求（昼间≤</w:t>
      </w:r>
      <w:r>
        <w:rPr>
          <w:rFonts w:hint="eastAsia" w:ascii="Times New Roman" w:hAnsi="Times New Roman" w:eastAsia="宋体" w:cs="Times New Roman"/>
          <w:color w:val="auto"/>
          <w:sz w:val="24"/>
          <w:szCs w:val="24"/>
          <w:lang w:val="en-US" w:eastAsia="zh-CN"/>
        </w:rPr>
        <w:t>60</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，夜间</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50</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；西</w:t>
      </w:r>
      <w:r>
        <w:rPr>
          <w:rFonts w:hint="default" w:ascii="Times New Roman" w:hAnsi="Times New Roman" w:eastAsia="宋体" w:cs="Times New Roman"/>
          <w:color w:val="auto"/>
          <w:sz w:val="24"/>
          <w:szCs w:val="24"/>
          <w:lang w:val="en-US" w:eastAsia="zh-CN"/>
        </w:rPr>
        <w:t>厂界噪声昼间值范围为</w:t>
      </w:r>
      <w:r>
        <w:rPr>
          <w:rFonts w:hint="eastAsia" w:ascii="Times New Roman" w:hAnsi="Times New Roman" w:eastAsia="宋体" w:cs="Times New Roman"/>
          <w:color w:val="auto"/>
          <w:sz w:val="24"/>
          <w:szCs w:val="24"/>
          <w:lang w:val="en-US" w:eastAsia="zh-CN"/>
        </w:rPr>
        <w:t>58.5</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58.7</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w:t>
      </w:r>
      <w:r>
        <w:rPr>
          <w:rFonts w:hint="default" w:ascii="Times New Roman" w:hAnsi="Times New Roman" w:eastAsia="宋体" w:cs="Times New Roman"/>
          <w:color w:val="auto"/>
          <w:sz w:val="24"/>
          <w:szCs w:val="24"/>
          <w:lang w:val="en-US" w:eastAsia="zh-CN"/>
        </w:rPr>
        <w:t>间值范围为</w:t>
      </w:r>
      <w:r>
        <w:rPr>
          <w:rFonts w:hint="eastAsia" w:ascii="Times New Roman" w:hAnsi="Times New Roman" w:eastAsia="宋体" w:cs="Times New Roman"/>
          <w:color w:val="auto"/>
          <w:sz w:val="24"/>
          <w:szCs w:val="24"/>
          <w:lang w:val="en-US" w:eastAsia="zh-CN"/>
        </w:rPr>
        <w:t>44.8</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47.5</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，均</w:t>
      </w:r>
      <w:r>
        <w:rPr>
          <w:rFonts w:hint="default" w:ascii="Times New Roman" w:hAnsi="Times New Roman" w:eastAsia="宋体" w:cs="Times New Roman"/>
          <w:color w:val="auto"/>
          <w:sz w:val="24"/>
          <w:szCs w:val="24"/>
          <w:lang w:val="en-US" w:eastAsia="zh-CN"/>
        </w:rPr>
        <w:t>满足《工业企业厂界环境噪声排放标准》（GB 12348-2008）中</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类标准限值要求（昼间≤</w:t>
      </w:r>
      <w:r>
        <w:rPr>
          <w:rFonts w:hint="eastAsia" w:ascii="Times New Roman" w:hAnsi="Times New Roman" w:eastAsia="宋体" w:cs="Times New Roman"/>
          <w:color w:val="auto"/>
          <w:sz w:val="24"/>
          <w:szCs w:val="24"/>
          <w:lang w:val="en-US" w:eastAsia="zh-CN"/>
        </w:rPr>
        <w:t>70</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，夜间</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55</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w:t>
      </w:r>
    </w:p>
    <w:p>
      <w:pPr>
        <w:pStyle w:val="4"/>
        <w:spacing w:line="360" w:lineRule="auto"/>
        <w:rPr>
          <w:rFonts w:hint="default" w:ascii="Times New Roman" w:hAnsi="Times New Roman" w:eastAsia="宋体" w:cs="Times New Roman"/>
          <w:color w:val="auto"/>
          <w:kern w:val="0"/>
          <w:sz w:val="24"/>
          <w:szCs w:val="21"/>
          <w:highlight w:val="none"/>
          <w:lang w:val="en-US" w:eastAsia="zh-CN" w:bidi="ar-SA"/>
        </w:rPr>
      </w:pPr>
      <w:bookmarkStart w:id="308" w:name="_Toc3190"/>
      <w:r>
        <w:rPr>
          <w:rFonts w:hint="default" w:ascii="Times New Roman" w:hAnsi="Times New Roman" w:eastAsia="宋体" w:cs="Times New Roman"/>
        </w:rPr>
        <w:t>7.3 总量控制要求</w:t>
      </w:r>
      <w:bookmarkEnd w:id="304"/>
      <w:bookmarkEnd w:id="305"/>
      <w:bookmarkEnd w:id="306"/>
      <w:bookmarkEnd w:id="308"/>
    </w:p>
    <w:p>
      <w:pPr>
        <w:keepNext w:val="0"/>
        <w:keepLines w:val="0"/>
        <w:pageBreakBefore w:val="0"/>
        <w:widowControl w:val="0"/>
        <w:kinsoku/>
        <w:wordWrap/>
        <w:overflowPunct/>
        <w:topLinePunct w:val="0"/>
        <w:autoSpaceDE w:val="0"/>
        <w:autoSpaceDN w:val="0"/>
        <w:bidi w:val="0"/>
        <w:adjustRightInd w:val="0"/>
        <w:spacing w:line="420" w:lineRule="exact"/>
        <w:ind w:left="0" w:leftChars="0" w:right="0" w:rightChars="0" w:firstLine="480" w:firstLineChars="200"/>
        <w:jc w:val="both"/>
        <w:textAlignment w:val="auto"/>
        <w:rPr>
          <w:rFonts w:hint="default" w:ascii="Times New Roman" w:hAnsi="Times New Roman" w:cs="Times New Roman" w:eastAsiaTheme="minorEastAsia"/>
          <w:color w:val="FF0000"/>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w:t>
      </w:r>
      <w:r>
        <w:rPr>
          <w:rFonts w:hint="default" w:ascii="Times New Roman" w:hAnsi="Times New Roman" w:eastAsia="宋体" w:cs="Times New Roman"/>
          <w:color w:val="auto"/>
          <w:sz w:val="24"/>
          <w:szCs w:val="24"/>
          <w:highlight w:val="none"/>
        </w:rPr>
        <w:t>监测期间</w:t>
      </w:r>
      <w:r>
        <w:rPr>
          <w:rFonts w:hint="default" w:ascii="Times New Roman" w:hAnsi="Times New Roman" w:eastAsia="宋体" w:cs="Times New Roman"/>
          <w:color w:val="auto"/>
          <w:sz w:val="24"/>
          <w:szCs w:val="24"/>
          <w:highlight w:val="none"/>
          <w:lang w:eastAsia="zh-CN"/>
        </w:rPr>
        <w:t>主要污染物排放</w:t>
      </w:r>
      <w:r>
        <w:rPr>
          <w:rFonts w:hint="default" w:ascii="Times New Roman" w:hAnsi="Times New Roman" w:eastAsia="宋体" w:cs="Times New Roman"/>
          <w:color w:val="auto"/>
          <w:sz w:val="24"/>
          <w:szCs w:val="24"/>
          <w:highlight w:val="none"/>
        </w:rPr>
        <w:t>总量为</w:t>
      </w:r>
      <w:r>
        <w:rPr>
          <w:rFonts w:hint="default" w:ascii="Times New Roman" w:hAnsi="Times New Roman" w:eastAsia="宋体" w:cs="Times New Roman"/>
          <w:color w:val="auto"/>
          <w:sz w:val="24"/>
          <w:szCs w:val="24"/>
          <w:highlight w:val="none"/>
          <w:lang w:eastAsia="zh-CN"/>
        </w:rPr>
        <w:t>非甲烷总烃：</w:t>
      </w:r>
      <w:r>
        <w:rPr>
          <w:rFonts w:hint="eastAsia" w:ascii="Times New Roman" w:hAnsi="Times New Roman" w:eastAsia="宋体" w:cs="Times New Roman"/>
          <w:color w:val="auto"/>
          <w:sz w:val="24"/>
          <w:szCs w:val="24"/>
          <w:highlight w:val="none"/>
          <w:lang w:val="en-US" w:eastAsia="zh-CN"/>
        </w:rPr>
        <w:t>0.024</w:t>
      </w:r>
      <w:r>
        <w:rPr>
          <w:rFonts w:hint="default" w:ascii="Times New Roman" w:hAnsi="Times New Roman" w:eastAsia="宋体" w:cs="Times New Roman"/>
          <w:color w:val="auto"/>
          <w:sz w:val="24"/>
          <w:szCs w:val="24"/>
          <w:highlight w:val="none"/>
          <w:lang w:eastAsia="zh-CN"/>
        </w:rPr>
        <w:t>t/a、</w:t>
      </w:r>
      <w:r>
        <w:rPr>
          <w:rFonts w:hint="default" w:ascii="Times New Roman" w:hAnsi="Times New Roman" w:eastAsia="宋体" w:cs="Times New Roman"/>
          <w:color w:val="auto"/>
          <w:sz w:val="24"/>
          <w:szCs w:val="24"/>
          <w:highlight w:val="none"/>
          <w:lang w:val="en-US" w:eastAsia="zh-CN"/>
        </w:rPr>
        <w:t>颗粒物</w:t>
      </w:r>
      <w:r>
        <w:rPr>
          <w:rFonts w:hint="default" w:ascii="Times New Roman" w:hAnsi="Times New Roman" w:eastAsia="宋体" w:cs="Times New Roman"/>
          <w:color w:val="auto"/>
          <w:sz w:val="24"/>
          <w:szCs w:val="24"/>
          <w:highlight w:val="none"/>
          <w:lang w:eastAsia="zh-CN"/>
        </w:rPr>
        <w:t>：</w:t>
      </w:r>
      <w:r>
        <w:rPr>
          <w:rFonts w:hint="eastAsia" w:ascii="Times New Roman" w:hAnsi="Times New Roman" w:eastAsia="宋体" w:cs="Times New Roman"/>
          <w:color w:val="auto"/>
          <w:sz w:val="24"/>
          <w:szCs w:val="24"/>
          <w:highlight w:val="none"/>
          <w:lang w:val="en-US" w:eastAsia="zh-CN"/>
        </w:rPr>
        <w:t>0.020</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、甲苯：</w:t>
      </w:r>
      <w:r>
        <w:rPr>
          <w:rFonts w:hint="eastAsia" w:ascii="Times New Roman" w:hAnsi="Times New Roman" w:eastAsia="宋体" w:cs="Times New Roman"/>
          <w:color w:val="auto"/>
          <w:sz w:val="24"/>
          <w:szCs w:val="24"/>
          <w:highlight w:val="none"/>
          <w:lang w:val="en-US" w:eastAsia="zh-CN"/>
        </w:rPr>
        <w:t>1.13</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10</w:t>
      </w:r>
      <w:r>
        <w:rPr>
          <w:rFonts w:hint="eastAsia" w:ascii="Times New Roman" w:hAnsi="Times New Roman" w:eastAsia="宋体" w:cs="Times New Roman"/>
          <w:color w:val="auto"/>
          <w:sz w:val="24"/>
          <w:szCs w:val="24"/>
          <w:highlight w:val="none"/>
          <w:vertAlign w:val="superscript"/>
          <w:lang w:val="en-US" w:eastAsia="zh-CN"/>
        </w:rPr>
        <w:t>-5</w:t>
      </w:r>
      <w:r>
        <w:rPr>
          <w:rFonts w:hint="default" w:ascii="Times New Roman" w:hAnsi="Times New Roman" w:eastAsia="宋体" w:cs="Times New Roman"/>
          <w:color w:val="auto"/>
          <w:sz w:val="24"/>
          <w:szCs w:val="24"/>
          <w:highlight w:val="none"/>
          <w:lang w:eastAsia="zh-CN"/>
        </w:rPr>
        <w:t>t/at/a</w:t>
      </w:r>
      <w:r>
        <w:rPr>
          <w:rFonts w:hint="eastAsia" w:ascii="Times New Roman" w:hAnsi="Times New Roman" w:eastAsia="宋体" w:cs="Times New Roman"/>
          <w:color w:val="auto"/>
          <w:sz w:val="24"/>
          <w:szCs w:val="24"/>
          <w:highlight w:val="none"/>
          <w:lang w:eastAsia="zh-CN"/>
        </w:rPr>
        <w:t>、二甲苯：</w:t>
      </w:r>
      <w:r>
        <w:rPr>
          <w:rFonts w:hint="eastAsia" w:ascii="Times New Roman" w:hAnsi="Times New Roman" w:eastAsia="宋体" w:cs="Times New Roman"/>
          <w:color w:val="auto"/>
          <w:sz w:val="24"/>
          <w:szCs w:val="24"/>
          <w:highlight w:val="none"/>
          <w:lang w:val="en-US" w:eastAsia="zh-CN"/>
        </w:rPr>
        <w:t>1.13</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10</w:t>
      </w:r>
      <w:r>
        <w:rPr>
          <w:rFonts w:hint="eastAsia" w:ascii="Times New Roman" w:hAnsi="Times New Roman" w:eastAsia="宋体" w:cs="Times New Roman"/>
          <w:color w:val="auto"/>
          <w:sz w:val="24"/>
          <w:szCs w:val="24"/>
          <w:highlight w:val="none"/>
          <w:vertAlign w:val="superscript"/>
          <w:lang w:val="en-US" w:eastAsia="zh-CN"/>
        </w:rPr>
        <w:t>-5</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both"/>
        <w:textAlignment w:val="auto"/>
        <w:outlineLvl w:val="9"/>
        <w:rPr>
          <w:rFonts w:hint="default" w:ascii="Times New Roman" w:hAnsi="Times New Roman" w:cs="Times New Roman"/>
          <w:color w:val="auto"/>
          <w:highlight w:val="red"/>
        </w:rPr>
      </w:pP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309" w:name="_Toc3191"/>
      <w:bookmarkStart w:id="310" w:name="_Toc1450"/>
      <w:bookmarkStart w:id="311" w:name="_Toc20214"/>
      <w:r>
        <w:rPr>
          <w:rFonts w:hint="default" w:ascii="Times New Roman" w:hAnsi="Times New Roman" w:eastAsia="宋体" w:cs="Times New Roman"/>
        </w:rPr>
        <w:t>8 环境管理检查</w:t>
      </w:r>
      <w:bookmarkEnd w:id="307"/>
      <w:bookmarkEnd w:id="309"/>
      <w:bookmarkEnd w:id="310"/>
      <w:bookmarkEnd w:id="311"/>
    </w:p>
    <w:p>
      <w:pPr>
        <w:pStyle w:val="4"/>
        <w:spacing w:line="360" w:lineRule="auto"/>
        <w:rPr>
          <w:rFonts w:hint="default" w:ascii="Times New Roman" w:hAnsi="Times New Roman" w:eastAsia="宋体" w:cs="Times New Roman"/>
        </w:rPr>
      </w:pPr>
      <w:bookmarkStart w:id="312" w:name="_Toc17414"/>
      <w:bookmarkStart w:id="313" w:name="_Toc10149"/>
      <w:bookmarkStart w:id="314" w:name="_Toc5972"/>
      <w:bookmarkStart w:id="315" w:name="_Toc23769"/>
      <w:r>
        <w:rPr>
          <w:rFonts w:hint="default" w:ascii="Times New Roman" w:hAnsi="Times New Roman" w:eastAsia="宋体" w:cs="Times New Roman"/>
        </w:rPr>
        <w:t>8.1 环保管理机构</w:t>
      </w:r>
      <w:bookmarkEnd w:id="312"/>
      <w:bookmarkEnd w:id="313"/>
      <w:bookmarkEnd w:id="314"/>
      <w:bookmarkEnd w:id="315"/>
    </w:p>
    <w:p>
      <w:pPr>
        <w:spacing w:line="360" w:lineRule="auto"/>
        <w:ind w:firstLine="480" w:firstLineChars="200"/>
        <w:rPr>
          <w:rFonts w:hint="default" w:ascii="Times New Roman" w:hAnsi="Times New Roman" w:eastAsia="宋体" w:cs="Times New Roman"/>
          <w:sz w:val="24"/>
          <w:szCs w:val="24"/>
        </w:rPr>
      </w:pPr>
      <w:r>
        <w:rPr>
          <w:rFonts w:hint="eastAsia"/>
          <w:snapToGrid w:val="0"/>
          <w:kern w:val="0"/>
          <w:sz w:val="24"/>
          <w:szCs w:val="24"/>
        </w:rPr>
        <w:t>沧州市新华区路捷汽车维修服务中心</w:t>
      </w:r>
      <w:r>
        <w:rPr>
          <w:rFonts w:hint="default" w:ascii="Times New Roman" w:hAnsi="Times New Roman" w:eastAsia="宋体" w:cs="Times New Roman"/>
          <w:sz w:val="24"/>
          <w:szCs w:val="24"/>
        </w:rPr>
        <w:t>环境管理由公司</w:t>
      </w:r>
      <w:r>
        <w:rPr>
          <w:rFonts w:hint="default"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4"/>
        <w:spacing w:line="360" w:lineRule="auto"/>
        <w:rPr>
          <w:rFonts w:hint="default" w:ascii="Times New Roman" w:hAnsi="Times New Roman" w:eastAsia="宋体" w:cs="Times New Roman"/>
          <w:szCs w:val="22"/>
        </w:rPr>
      </w:pPr>
      <w:bookmarkStart w:id="316" w:name="_Toc6176"/>
      <w:bookmarkStart w:id="317" w:name="_Toc294178076"/>
      <w:bookmarkStart w:id="318" w:name="_Toc25742"/>
      <w:bookmarkStart w:id="319" w:name="_Toc412705194"/>
      <w:bookmarkStart w:id="320" w:name="_Toc18585"/>
      <w:bookmarkStart w:id="321" w:name="_Toc14656"/>
      <w:r>
        <w:rPr>
          <w:rFonts w:hint="default" w:ascii="Times New Roman" w:hAnsi="Times New Roman" w:eastAsia="宋体" w:cs="Times New Roman"/>
          <w:szCs w:val="22"/>
        </w:rPr>
        <w:t>8.2 施工期环境管理</w:t>
      </w:r>
      <w:bookmarkEnd w:id="316"/>
      <w:bookmarkEnd w:id="317"/>
      <w:bookmarkEnd w:id="318"/>
      <w:bookmarkEnd w:id="319"/>
      <w:bookmarkEnd w:id="320"/>
      <w:bookmarkEnd w:id="321"/>
    </w:p>
    <w:p>
      <w:pPr>
        <w:spacing w:line="360" w:lineRule="auto"/>
        <w:ind w:firstLine="480" w:firstLineChars="200"/>
        <w:rPr>
          <w:rFonts w:hint="default" w:ascii="Times New Roman" w:hAnsi="Times New Roman" w:eastAsia="宋体" w:cs="Times New Roman"/>
          <w:sz w:val="24"/>
          <w:szCs w:val="24"/>
        </w:rPr>
      </w:pPr>
      <w:bookmarkStart w:id="322" w:name="_Toc412705195"/>
      <w:bookmarkStart w:id="323" w:name="_Toc294178077"/>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4"/>
        <w:spacing w:line="360" w:lineRule="auto"/>
        <w:rPr>
          <w:rFonts w:hint="default" w:ascii="Times New Roman" w:hAnsi="Times New Roman" w:eastAsia="宋体" w:cs="Times New Roman"/>
        </w:rPr>
      </w:pPr>
      <w:bookmarkStart w:id="324" w:name="_Toc1494"/>
      <w:bookmarkStart w:id="325" w:name="_Toc7664"/>
      <w:bookmarkStart w:id="326" w:name="_Toc20253"/>
      <w:bookmarkStart w:id="327" w:name="_Toc463"/>
      <w:r>
        <w:rPr>
          <w:rFonts w:hint="default" w:ascii="Times New Roman" w:hAnsi="Times New Roman" w:eastAsia="宋体" w:cs="Times New Roman"/>
        </w:rPr>
        <w:t>8.3 运行期环境管理</w:t>
      </w:r>
      <w:bookmarkEnd w:id="322"/>
      <w:bookmarkEnd w:id="323"/>
      <w:bookmarkEnd w:id="324"/>
      <w:bookmarkEnd w:id="325"/>
      <w:bookmarkEnd w:id="326"/>
      <w:bookmarkEnd w:id="327"/>
    </w:p>
    <w:p>
      <w:pPr>
        <w:spacing w:line="360" w:lineRule="auto"/>
        <w:ind w:firstLine="480" w:firstLineChars="200"/>
        <w:rPr>
          <w:rFonts w:hint="default" w:ascii="Times New Roman" w:hAnsi="Times New Roman" w:eastAsia="宋体" w:cs="Times New Roman"/>
          <w:sz w:val="24"/>
          <w:szCs w:val="24"/>
        </w:rPr>
      </w:pPr>
      <w:bookmarkStart w:id="328" w:name="_Toc294178078"/>
      <w:r>
        <w:rPr>
          <w:rFonts w:hint="eastAsia"/>
          <w:snapToGrid w:val="0"/>
          <w:kern w:val="0"/>
          <w:sz w:val="24"/>
          <w:szCs w:val="24"/>
        </w:rPr>
        <w:t>沧州市新华区路捷汽车维修服务中心</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28"/>
      <w:bookmarkStart w:id="329" w:name="_Toc414220604"/>
      <w:bookmarkStart w:id="330" w:name="_Toc412705199"/>
    </w:p>
    <w:p>
      <w:pPr>
        <w:pStyle w:val="4"/>
        <w:spacing w:line="360" w:lineRule="auto"/>
        <w:rPr>
          <w:rFonts w:hint="default" w:ascii="Times New Roman" w:hAnsi="Times New Roman" w:eastAsia="宋体" w:cs="Times New Roman"/>
        </w:rPr>
      </w:pPr>
      <w:bookmarkStart w:id="331" w:name="_Toc412705196"/>
      <w:bookmarkStart w:id="332" w:name="_Toc414220602"/>
      <w:bookmarkStart w:id="333" w:name="_Toc8826"/>
      <w:bookmarkStart w:id="334" w:name="_Toc28702"/>
      <w:bookmarkStart w:id="335" w:name="_Toc76"/>
      <w:bookmarkStart w:id="336" w:name="_Toc30705"/>
      <w:r>
        <w:rPr>
          <w:rFonts w:hint="default" w:ascii="Times New Roman" w:hAnsi="Times New Roman" w:eastAsia="宋体" w:cs="Times New Roman"/>
        </w:rPr>
        <w:t>8.4 社会环境影响情况调查</w:t>
      </w:r>
      <w:bookmarkEnd w:id="331"/>
      <w:bookmarkEnd w:id="332"/>
      <w:bookmarkEnd w:id="333"/>
      <w:bookmarkEnd w:id="334"/>
      <w:bookmarkEnd w:id="335"/>
      <w:bookmarkEnd w:id="336"/>
    </w:p>
    <w:p>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4"/>
        <w:spacing w:line="360" w:lineRule="auto"/>
        <w:rPr>
          <w:rFonts w:hint="default" w:ascii="Times New Roman" w:hAnsi="Times New Roman" w:eastAsia="宋体" w:cs="Times New Roman"/>
        </w:rPr>
      </w:pPr>
      <w:bookmarkStart w:id="337" w:name="_Toc15866"/>
      <w:bookmarkStart w:id="338" w:name="_Toc9083"/>
      <w:bookmarkStart w:id="339" w:name="_Toc26985"/>
      <w:bookmarkStart w:id="340" w:name="_Toc17881"/>
      <w:r>
        <w:rPr>
          <w:rFonts w:hint="default" w:ascii="Times New Roman" w:hAnsi="Times New Roman" w:eastAsia="宋体" w:cs="Times New Roman"/>
        </w:rPr>
        <w:t>8.5 环境管理情况分析</w:t>
      </w:r>
      <w:bookmarkEnd w:id="329"/>
      <w:bookmarkEnd w:id="330"/>
      <w:bookmarkEnd w:id="337"/>
      <w:bookmarkEnd w:id="338"/>
      <w:bookmarkEnd w:id="339"/>
      <w:bookmarkEnd w:id="340"/>
    </w:p>
    <w:p>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3"/>
        <w:spacing w:line="360" w:lineRule="auto"/>
        <w:rPr>
          <w:rFonts w:hint="default" w:ascii="Times New Roman" w:hAnsi="Times New Roman" w:eastAsia="宋体" w:cs="Times New Roman"/>
        </w:rPr>
      </w:pPr>
      <w:bookmarkStart w:id="341" w:name="_Toc27984"/>
      <w:r>
        <w:rPr>
          <w:rFonts w:hint="default" w:ascii="Times New Roman" w:hAnsi="Times New Roman" w:eastAsia="宋体" w:cs="Times New Roman"/>
        </w:rPr>
        <w:br w:type="page"/>
      </w:r>
    </w:p>
    <w:p>
      <w:pPr>
        <w:pStyle w:val="3"/>
        <w:rPr>
          <w:rFonts w:hint="default" w:ascii="Times New Roman" w:hAnsi="Times New Roman" w:eastAsia="宋体" w:cs="Times New Roman"/>
        </w:rPr>
      </w:pPr>
      <w:bookmarkStart w:id="342" w:name="_Toc18158"/>
      <w:bookmarkStart w:id="343" w:name="_Toc11684"/>
      <w:bookmarkStart w:id="344" w:name="_Toc11667"/>
      <w:r>
        <w:rPr>
          <w:rFonts w:hint="default" w:ascii="Times New Roman" w:hAnsi="Times New Roman" w:eastAsia="宋体" w:cs="Times New Roman"/>
        </w:rPr>
        <w:t>9 结论和建议</w:t>
      </w:r>
      <w:bookmarkEnd w:id="341"/>
      <w:bookmarkEnd w:id="342"/>
      <w:bookmarkEnd w:id="343"/>
      <w:bookmarkEnd w:id="344"/>
    </w:p>
    <w:p>
      <w:pPr>
        <w:pStyle w:val="4"/>
        <w:rPr>
          <w:rFonts w:hint="default" w:ascii="Times New Roman" w:hAnsi="Times New Roman" w:eastAsia="宋体" w:cs="Times New Roman"/>
        </w:rPr>
      </w:pPr>
      <w:bookmarkStart w:id="345" w:name="_Toc1836"/>
      <w:bookmarkStart w:id="346" w:name="_Toc8760"/>
      <w:bookmarkStart w:id="347" w:name="_Toc6888"/>
      <w:bookmarkStart w:id="348" w:name="_Toc25092"/>
      <w:r>
        <w:rPr>
          <w:rFonts w:hint="default" w:ascii="Times New Roman" w:hAnsi="Times New Roman" w:eastAsia="宋体" w:cs="Times New Roman"/>
        </w:rPr>
        <w:t>9.1 验收主要结论</w:t>
      </w:r>
      <w:bookmarkEnd w:id="345"/>
      <w:bookmarkEnd w:id="346"/>
      <w:bookmarkEnd w:id="347"/>
      <w:bookmarkEnd w:id="348"/>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检测期间，该企业生产正常，设施运行稳定，生产负荷达到75%以上，满足验收检测技术规范要求。</w:t>
      </w:r>
    </w:p>
    <w:p>
      <w:pPr>
        <w:keepNext w:val="0"/>
        <w:keepLines w:val="0"/>
        <w:pageBreakBefore w:val="0"/>
        <w:widowControl w:val="0"/>
        <w:kinsoku/>
        <w:wordWrap/>
        <w:overflowPunct/>
        <w:topLinePunct w:val="0"/>
        <w:autoSpaceDE/>
        <w:autoSpaceDN/>
        <w:bidi w:val="0"/>
        <w:adjustRightInd/>
        <w:snapToGrid/>
        <w:spacing w:after="157" w:afterLines="50" w:line="480" w:lineRule="atLeast"/>
        <w:ind w:right="0" w:rightChars="0" w:firstLine="480" w:firstLineChars="200"/>
        <w:textAlignment w:val="auto"/>
        <w:rPr>
          <w:rFonts w:hint="default" w:ascii="Times New Roman" w:hAnsi="Times New Roman" w:eastAsia="宋体" w:cs="Times New Roman"/>
          <w:sz w:val="24"/>
          <w:szCs w:val="24"/>
        </w:rPr>
      </w:pPr>
      <w:bookmarkStart w:id="349" w:name="_Hlk496998889"/>
      <w:r>
        <w:rPr>
          <w:rFonts w:hint="default" w:ascii="Times New Roman" w:hAnsi="Times New Roman" w:eastAsia="宋体" w:cs="Times New Roman"/>
          <w:sz w:val="24"/>
          <w:szCs w:val="24"/>
        </w:rPr>
        <w:t>（1）废气</w:t>
      </w:r>
    </w:p>
    <w:bookmarkEnd w:id="349"/>
    <w:p>
      <w:pPr>
        <w:keepNext w:val="0"/>
        <w:keepLines w:val="0"/>
        <w:pageBreakBefore w:val="0"/>
        <w:widowControl w:val="0"/>
        <w:kinsoku/>
        <w:wordWrap/>
        <w:overflowPunct/>
        <w:topLinePunct w:val="0"/>
        <w:bidi w:val="0"/>
        <w:spacing w:line="420" w:lineRule="exact"/>
        <w:ind w:firstLine="480" w:firstLineChars="200"/>
        <w:jc w:val="both"/>
        <w:textAlignment w:val="auto"/>
        <w:rPr>
          <w:rFonts w:hint="default" w:ascii="Times New Roman" w:hAnsi="Times New Roman" w:eastAsia="宋体" w:cs="Times New Roman"/>
          <w:color w:val="auto"/>
          <w:w w:val="100"/>
          <w:sz w:val="24"/>
          <w:szCs w:val="24"/>
          <w:shd w:val="clear" w:color="auto" w:fill="auto"/>
          <w:lang w:val="en-US" w:eastAsia="zh-CN"/>
        </w:rPr>
      </w:pPr>
      <w:r>
        <w:rPr>
          <w:rFonts w:hint="eastAsia" w:ascii="Times New Roman" w:hAnsi="Times New Roman" w:eastAsia="宋体" w:cs="Times New Roman"/>
          <w:color w:val="auto"/>
          <w:sz w:val="24"/>
          <w:szCs w:val="24"/>
          <w:lang w:val="en-US" w:eastAsia="zh-CN"/>
        </w:rPr>
        <w:t>调漆、喷漆和烘烤工序废气经</w:t>
      </w:r>
      <w:r>
        <w:rPr>
          <w:rFonts w:hint="eastAsia" w:ascii="Times New Roman" w:hAnsi="Times New Roman" w:cs="Times New Roman"/>
          <w:color w:val="auto"/>
          <w:sz w:val="24"/>
          <w:szCs w:val="24"/>
          <w:lang w:val="en-US" w:eastAsia="zh-CN"/>
        </w:rPr>
        <w:t>过滤棉+</w:t>
      </w:r>
      <w:r>
        <w:rPr>
          <w:rFonts w:hint="eastAsia" w:ascii="Times New Roman" w:hAnsi="Times New Roman" w:eastAsia="宋体" w:cs="Times New Roman"/>
          <w:color w:val="auto"/>
          <w:sz w:val="24"/>
          <w:szCs w:val="24"/>
          <w:lang w:val="en-US" w:eastAsia="zh-CN"/>
        </w:rPr>
        <w:t>光氧催化装置+</w:t>
      </w:r>
      <w:r>
        <w:rPr>
          <w:rFonts w:hint="eastAsia" w:ascii="Times New Roman" w:hAnsi="Times New Roman" w:eastAsia="宋体" w:cs="Times New Roman"/>
          <w:color w:val="auto"/>
          <w:sz w:val="24"/>
          <w:szCs w:val="24"/>
          <w:lang w:eastAsia="zh-CN"/>
        </w:rPr>
        <w:t>活性炭吸附装置</w:t>
      </w:r>
      <w:r>
        <w:rPr>
          <w:rFonts w:hint="eastAsia" w:ascii="Times New Roman" w:hAnsi="Times New Roman" w:eastAsia="宋体" w:cs="Times New Roman"/>
          <w:color w:val="auto"/>
          <w:sz w:val="24"/>
          <w:szCs w:val="24"/>
          <w:lang w:val="en-US" w:eastAsia="zh-CN"/>
        </w:rPr>
        <w:t>处理后，</w:t>
      </w:r>
      <w:r>
        <w:rPr>
          <w:rFonts w:hint="default" w:ascii="Times New Roman" w:hAnsi="Times New Roman" w:eastAsia="宋体" w:cs="Times New Roman"/>
          <w:color w:val="auto"/>
          <w:sz w:val="24"/>
          <w:szCs w:val="24"/>
          <w:lang w:val="en-US" w:eastAsia="zh-CN"/>
        </w:rPr>
        <w:t>由1根15m高排气筒排放</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外排废气中</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颗粒物最高排放浓度为</w:t>
      </w:r>
      <w:r>
        <w:rPr>
          <w:rFonts w:hint="eastAsia"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最高排放速率为0.009k</w:t>
      </w:r>
      <w:r>
        <w:rPr>
          <w:rFonts w:hint="default" w:ascii="Times New Roman" w:hAnsi="Times New Roman" w:eastAsia="宋体" w:cs="Times New Roman"/>
          <w:color w:val="auto"/>
          <w:sz w:val="24"/>
          <w:szCs w:val="24"/>
          <w:lang w:val="en-US" w:eastAsia="zh-CN"/>
        </w:rPr>
        <w:t>g/</w:t>
      </w:r>
      <w:r>
        <w:rPr>
          <w:rFonts w:hint="eastAsia" w:ascii="Times New Roman" w:hAnsi="Times New Roman" w:eastAsia="宋体" w:cs="Times New Roman"/>
          <w:color w:val="auto"/>
          <w:sz w:val="24"/>
          <w:szCs w:val="24"/>
          <w:lang w:val="en-US" w:eastAsia="zh-CN"/>
        </w:rPr>
        <w:t>h，均</w:t>
      </w:r>
      <w:r>
        <w:rPr>
          <w:rFonts w:hint="default" w:ascii="Times New Roman" w:hAnsi="Times New Roman" w:eastAsia="宋体" w:cs="Times New Roman"/>
          <w:color w:val="auto"/>
          <w:sz w:val="24"/>
          <w:szCs w:val="24"/>
          <w:lang w:val="en-US" w:eastAsia="zh-CN"/>
        </w:rPr>
        <w:t>满足</w:t>
      </w:r>
      <w:r>
        <w:rPr>
          <w:rFonts w:hint="default" w:ascii="Times New Roman" w:hAnsi="Times New Roman" w:eastAsia="宋体" w:cs="Times New Roman"/>
          <w:sz w:val="24"/>
          <w:szCs w:val="24"/>
          <w:lang w:val="en-US" w:eastAsia="zh-CN"/>
        </w:rPr>
        <w:t>《大气污染物综合排放标准》（GB16297-1996）表2</w:t>
      </w:r>
      <w:r>
        <w:rPr>
          <w:rFonts w:hint="eastAsia" w:ascii="Times New Roman" w:hAnsi="Times New Roman" w:eastAsia="宋体" w:cs="Times New Roman"/>
          <w:sz w:val="24"/>
          <w:szCs w:val="24"/>
          <w:lang w:val="en-US" w:eastAsia="zh-CN"/>
        </w:rPr>
        <w:t>中颗粒物染料尘</w:t>
      </w:r>
      <w:r>
        <w:rPr>
          <w:rFonts w:hint="default" w:ascii="Times New Roman" w:hAnsi="Times New Roman" w:eastAsia="宋体" w:cs="Times New Roman"/>
          <w:sz w:val="24"/>
          <w:szCs w:val="24"/>
          <w:lang w:val="en-US" w:eastAsia="zh-CN"/>
        </w:rPr>
        <w:t>二级标准排放限值</w:t>
      </w:r>
      <w:r>
        <w:rPr>
          <w:rFonts w:hint="eastAsia" w:ascii="Times New Roman" w:hAnsi="Times New Roman" w:eastAsia="宋体" w:cs="Times New Roman"/>
          <w:sz w:val="24"/>
          <w:szCs w:val="24"/>
          <w:lang w:val="en-US" w:eastAsia="zh-CN"/>
        </w:rPr>
        <w:t>要求</w:t>
      </w:r>
      <w:r>
        <w:rPr>
          <w:rFonts w:hint="default" w:ascii="Times New Roman" w:hAnsi="Times New Roman" w:eastAsia="宋体" w:cs="Times New Roman"/>
          <w:color w:val="auto"/>
          <w:sz w:val="24"/>
          <w:szCs w:val="24"/>
          <w:lang w:val="en-US" w:eastAsia="zh-CN"/>
        </w:rPr>
        <w:t>（颗粒物≤</w:t>
      </w:r>
      <w:r>
        <w:rPr>
          <w:rFonts w:hint="eastAsia" w:ascii="Times New Roman" w:hAnsi="Times New Roman" w:eastAsia="宋体" w:cs="Times New Roman"/>
          <w:color w:val="auto"/>
          <w:sz w:val="24"/>
          <w:szCs w:val="24"/>
          <w:lang w:val="en-US" w:eastAsia="zh-CN"/>
        </w:rPr>
        <w:t>18</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eastAsia" w:ascii="Times New Roman" w:hAnsi="Times New Roman" w:eastAsia="宋体" w:cs="Times New Roman"/>
          <w:color w:val="auto"/>
          <w:sz w:val="24"/>
          <w:szCs w:val="24"/>
          <w:vertAlign w:val="baseline"/>
          <w:lang w:val="en-US" w:eastAsia="zh-CN"/>
        </w:rPr>
        <w:t>，排放速率</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0.51k</w:t>
      </w:r>
      <w:r>
        <w:rPr>
          <w:rFonts w:hint="default" w:ascii="Times New Roman" w:hAnsi="Times New Roman" w:eastAsia="宋体" w:cs="Times New Roman"/>
          <w:color w:val="auto"/>
          <w:sz w:val="24"/>
          <w:szCs w:val="24"/>
          <w:lang w:val="en-US" w:eastAsia="zh-CN"/>
        </w:rPr>
        <w:t>g/</w:t>
      </w:r>
      <w:r>
        <w:rPr>
          <w:rFonts w:hint="eastAsia" w:ascii="Times New Roman" w:hAnsi="Times New Roman" w:eastAsia="宋体" w:cs="Times New Roman"/>
          <w:color w:val="auto"/>
          <w:sz w:val="24"/>
          <w:szCs w:val="24"/>
          <w:lang w:val="en-US" w:eastAsia="zh-CN"/>
        </w:rPr>
        <w:t>h</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w w:val="100"/>
          <w:sz w:val="24"/>
          <w:szCs w:val="24"/>
          <w:shd w:val="clear" w:color="auto" w:fill="auto"/>
          <w:lang w:val="en-US" w:eastAsia="zh-CN"/>
        </w:rPr>
        <w:t>。</w:t>
      </w:r>
      <w:r>
        <w:rPr>
          <w:rFonts w:hint="default" w:ascii="Times New Roman" w:hAnsi="Times New Roman" w:eastAsia="宋体" w:cs="Times New Roman"/>
          <w:color w:val="auto"/>
          <w:sz w:val="24"/>
          <w:szCs w:val="24"/>
          <w:lang w:val="en-US" w:eastAsia="zh-CN"/>
        </w:rPr>
        <w:t>非甲烷总烃最高排放浓度为</w:t>
      </w:r>
      <w:r>
        <w:rPr>
          <w:rFonts w:hint="eastAsia" w:ascii="Times New Roman" w:hAnsi="Times New Roman" w:eastAsia="宋体" w:cs="Times New Roman"/>
          <w:color w:val="auto"/>
          <w:sz w:val="24"/>
          <w:szCs w:val="24"/>
          <w:lang w:val="en-US" w:eastAsia="zh-CN"/>
        </w:rPr>
        <w:t>1.60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苯、</w:t>
      </w:r>
      <w:r>
        <w:rPr>
          <w:rFonts w:hint="default" w:ascii="Times New Roman" w:hAnsi="Times New Roman" w:cs="Times New Roman"/>
          <w:color w:val="auto"/>
          <w:spacing w:val="0"/>
          <w:sz w:val="24"/>
          <w:szCs w:val="24"/>
          <w:highlight w:val="none"/>
          <w:lang w:val="en-US" w:eastAsia="zh-CN"/>
        </w:rPr>
        <w:t>甲苯</w:t>
      </w:r>
      <w:r>
        <w:rPr>
          <w:rFonts w:hint="eastAsia" w:ascii="Times New Roman" w:hAnsi="Times New Roman" w:cs="Times New Roman"/>
          <w:color w:val="auto"/>
          <w:spacing w:val="0"/>
          <w:sz w:val="24"/>
          <w:szCs w:val="24"/>
          <w:highlight w:val="none"/>
          <w:lang w:val="en-US" w:eastAsia="zh-CN"/>
        </w:rPr>
        <w:t>+</w:t>
      </w:r>
      <w:r>
        <w:rPr>
          <w:rFonts w:hint="default" w:ascii="Times New Roman" w:hAnsi="Times New Roman" w:cs="Times New Roman"/>
          <w:color w:val="auto"/>
          <w:spacing w:val="0"/>
          <w:sz w:val="24"/>
          <w:szCs w:val="24"/>
          <w:highlight w:val="none"/>
          <w:lang w:val="en-US" w:eastAsia="zh-CN"/>
        </w:rPr>
        <w:t>二甲苯</w:t>
      </w:r>
      <w:r>
        <w:rPr>
          <w:rFonts w:hint="eastAsia" w:ascii="Times New Roman" w:hAnsi="Times New Roman" w:eastAsia="宋体" w:cs="Times New Roman"/>
          <w:color w:val="auto"/>
          <w:sz w:val="24"/>
          <w:szCs w:val="24"/>
          <w:lang w:val="en-US" w:eastAsia="zh-CN"/>
        </w:rPr>
        <w:t>均未检出</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均</w:t>
      </w:r>
      <w:r>
        <w:rPr>
          <w:rFonts w:hint="default" w:ascii="Times New Roman" w:hAnsi="Times New Roman" w:eastAsia="宋体" w:cs="Times New Roman"/>
          <w:color w:val="auto"/>
          <w:sz w:val="24"/>
          <w:szCs w:val="24"/>
          <w:lang w:val="en-US" w:eastAsia="zh-CN"/>
        </w:rPr>
        <w:t>满足《工业企业挥发性有机物排放控制标准》（DB13/2322-2016）表1中</w:t>
      </w:r>
      <w:r>
        <w:rPr>
          <w:rFonts w:hint="eastAsia" w:ascii="Times New Roman" w:hAnsi="Times New Roman" w:eastAsia="宋体" w:cs="Times New Roman"/>
          <w:color w:val="auto"/>
          <w:sz w:val="24"/>
          <w:szCs w:val="24"/>
          <w:lang w:val="en-US" w:eastAsia="zh-CN"/>
        </w:rPr>
        <w:t>表面涂装业</w:t>
      </w:r>
      <w:r>
        <w:rPr>
          <w:rFonts w:hint="default" w:ascii="Times New Roman" w:hAnsi="Times New Roman" w:eastAsia="宋体" w:cs="Times New Roman"/>
          <w:color w:val="auto"/>
          <w:sz w:val="24"/>
          <w:szCs w:val="24"/>
          <w:lang w:val="en-US" w:eastAsia="zh-CN"/>
        </w:rPr>
        <w:t>排放限值要求（</w:t>
      </w:r>
      <w:r>
        <w:rPr>
          <w:rFonts w:hint="default" w:ascii="Times New Roman" w:hAnsi="Times New Roman" w:cs="Times New Roman"/>
          <w:color w:val="auto"/>
          <w:sz w:val="24"/>
          <w:szCs w:val="24"/>
          <w:highlight w:val="none"/>
          <w:lang w:val="en-US" w:eastAsia="zh-CN"/>
        </w:rPr>
        <w:t>非甲烷总烃</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60</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cs="Times New Roman"/>
          <w:color w:val="auto"/>
          <w:sz w:val="24"/>
          <w:szCs w:val="24"/>
          <w:highlight w:val="none"/>
          <w:vertAlign w:val="baseline"/>
          <w:lang w:val="en-US" w:eastAsia="zh-CN"/>
        </w:rPr>
        <w:t>，</w:t>
      </w:r>
      <w:r>
        <w:rPr>
          <w:rFonts w:hint="eastAsia" w:ascii="Times New Roman" w:hAnsi="Times New Roman" w:cs="Times New Roman"/>
          <w:color w:val="auto"/>
          <w:sz w:val="24"/>
          <w:szCs w:val="24"/>
          <w:highlight w:val="none"/>
          <w:vertAlign w:val="baseline"/>
          <w:lang w:val="en-US" w:eastAsia="zh-CN"/>
        </w:rPr>
        <w:t>苯</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1</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cs="Times New Roman"/>
          <w:color w:val="auto"/>
          <w:sz w:val="24"/>
          <w:szCs w:val="24"/>
          <w:highlight w:val="none"/>
          <w:vertAlign w:val="baseline"/>
          <w:lang w:val="en-US" w:eastAsia="zh-CN"/>
        </w:rPr>
        <w:t>，甲苯+二甲苯</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val="en-US" w:eastAsia="zh-CN"/>
        </w:rPr>
        <w:t>mg/m</w:t>
      </w:r>
      <w:r>
        <w:rPr>
          <w:rFonts w:hint="default" w:ascii="Times New Roman" w:hAnsi="Times New Roman" w:eastAsia="宋体" w:cs="Times New Roman"/>
          <w:color w:val="auto"/>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非甲烷总烃最低去除效率为58.4%，不满足</w:t>
      </w:r>
      <w:r>
        <w:rPr>
          <w:rFonts w:hint="default" w:ascii="Times New Roman" w:hAnsi="Times New Roman" w:eastAsia="宋体" w:cs="Times New Roman"/>
          <w:color w:val="auto"/>
          <w:sz w:val="24"/>
          <w:szCs w:val="24"/>
          <w:lang w:val="en-US" w:eastAsia="zh-CN"/>
        </w:rPr>
        <w:t>《工业企业挥发性有机物排放控制标准》（DB13/2322-2016）表1中</w:t>
      </w:r>
      <w:r>
        <w:rPr>
          <w:rFonts w:hint="eastAsia" w:ascii="Times New Roman" w:hAnsi="Times New Roman" w:eastAsia="宋体" w:cs="Times New Roman"/>
          <w:color w:val="auto"/>
          <w:sz w:val="24"/>
          <w:szCs w:val="24"/>
          <w:lang w:val="en-US" w:eastAsia="zh-CN"/>
        </w:rPr>
        <w:t>表面涂装业</w:t>
      </w:r>
      <w:r>
        <w:rPr>
          <w:rFonts w:hint="default" w:ascii="Times New Roman" w:hAnsi="Times New Roman" w:eastAsia="宋体" w:cs="Times New Roman"/>
          <w:color w:val="auto"/>
          <w:sz w:val="24"/>
          <w:szCs w:val="24"/>
          <w:lang w:val="en-US" w:eastAsia="zh-CN"/>
        </w:rPr>
        <w:t>排放限值要求（</w:t>
      </w:r>
      <w:r>
        <w:rPr>
          <w:rFonts w:hint="default" w:ascii="Times New Roman" w:hAnsi="Times New Roman" w:cs="Times New Roman"/>
          <w:color w:val="auto"/>
          <w:sz w:val="24"/>
          <w:szCs w:val="24"/>
          <w:highlight w:val="none"/>
          <w:lang w:val="en-US" w:eastAsia="zh-CN"/>
        </w:rPr>
        <w:t>非甲烷总烃≥70%）</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加测车间有机废气</w:t>
      </w:r>
      <w:r>
        <w:rPr>
          <w:rFonts w:hint="default" w:ascii="Times New Roman" w:hAnsi="Times New Roman" w:eastAsia="宋体" w:cs="Times New Roman"/>
          <w:color w:val="auto"/>
          <w:w w:val="100"/>
          <w:sz w:val="24"/>
          <w:szCs w:val="24"/>
          <w:shd w:val="clear" w:color="auto" w:fill="auto"/>
          <w:lang w:val="en-US" w:eastAsia="zh-CN"/>
        </w:rPr>
        <w:t>。</w:t>
      </w:r>
    </w:p>
    <w:p>
      <w:pPr>
        <w:keepNext w:val="0"/>
        <w:keepLines w:val="0"/>
        <w:pageBreakBefore w:val="0"/>
        <w:widowControl w:val="0"/>
        <w:kinsoku/>
        <w:wordWrap/>
        <w:overflowPunct/>
        <w:topLinePunct w:val="0"/>
        <w:bidi w:val="0"/>
        <w:spacing w:line="420" w:lineRule="exact"/>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厂界无组织废气中，非甲烷总烃最高排放浓度为</w:t>
      </w:r>
      <w:r>
        <w:rPr>
          <w:rFonts w:hint="eastAsia" w:ascii="Times New Roman" w:hAnsi="Times New Roman" w:eastAsia="宋体" w:cs="Times New Roman"/>
          <w:color w:val="auto"/>
          <w:sz w:val="24"/>
          <w:szCs w:val="24"/>
          <w:lang w:val="en-US" w:eastAsia="zh-CN"/>
        </w:rPr>
        <w:t>0.81</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苯、甲苯、二甲苯均未检出，均</w:t>
      </w:r>
      <w:r>
        <w:rPr>
          <w:rFonts w:hint="default" w:ascii="Times New Roman" w:hAnsi="Times New Roman" w:eastAsia="宋体" w:cs="Times New Roman"/>
          <w:color w:val="auto"/>
          <w:sz w:val="24"/>
          <w:szCs w:val="24"/>
          <w:lang w:val="en-US" w:eastAsia="zh-CN"/>
        </w:rPr>
        <w:t>满足《工业企业挥发性有机物排放控制标准》（DB13/2322-2016）表2其他企业边界浓度排放限值标准要求</w:t>
      </w:r>
      <w:r>
        <w:rPr>
          <w:rFonts w:hint="default" w:ascii="Times New Roman" w:hAnsi="Times New Roman" w:cs="Times New Roman"/>
          <w:color w:val="auto"/>
          <w:spacing w:val="0"/>
          <w:sz w:val="24"/>
          <w:szCs w:val="24"/>
          <w:highlight w:val="none"/>
          <w:lang w:val="en-US" w:eastAsia="zh-CN"/>
        </w:rPr>
        <w:t>（非甲烷总烃≤2.0mg/m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苯</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0.1</w:t>
      </w:r>
      <w:r>
        <w:rPr>
          <w:rFonts w:hint="default" w:ascii="Times New Roman" w:hAnsi="Times New Roman" w:cs="Times New Roman"/>
          <w:color w:val="auto"/>
          <w:spacing w:val="0"/>
          <w:sz w:val="24"/>
          <w:szCs w:val="24"/>
          <w:highlight w:val="none"/>
          <w:lang w:val="en-US" w:eastAsia="zh-CN"/>
        </w:rPr>
        <w:t>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甲苯</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0.6</w:t>
      </w:r>
      <w:r>
        <w:rPr>
          <w:rFonts w:hint="default" w:ascii="Times New Roman" w:hAnsi="Times New Roman" w:cs="Times New Roman"/>
          <w:color w:val="auto"/>
          <w:spacing w:val="0"/>
          <w:sz w:val="24"/>
          <w:szCs w:val="24"/>
          <w:highlight w:val="none"/>
          <w:lang w:val="en-US" w:eastAsia="zh-CN"/>
        </w:rPr>
        <w:t>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二甲苯</w:t>
      </w:r>
      <w:r>
        <w:rPr>
          <w:rFonts w:hint="default" w:ascii="Times New Roman" w:hAnsi="Times New Roman" w:cs="Times New Roman"/>
          <w:color w:val="auto"/>
          <w:spacing w:val="0"/>
          <w:sz w:val="24"/>
          <w:szCs w:val="24"/>
          <w:highlight w:val="none"/>
          <w:lang w:val="en-US" w:eastAsia="zh-CN"/>
        </w:rPr>
        <w:t>≤</w:t>
      </w:r>
      <w:r>
        <w:rPr>
          <w:rFonts w:hint="eastAsia" w:ascii="Times New Roman" w:hAnsi="Times New Roman" w:cs="Times New Roman"/>
          <w:color w:val="auto"/>
          <w:spacing w:val="0"/>
          <w:sz w:val="24"/>
          <w:szCs w:val="24"/>
          <w:highlight w:val="none"/>
          <w:lang w:val="en-US" w:eastAsia="zh-CN"/>
        </w:rPr>
        <w:t>0.2</w:t>
      </w:r>
      <w:r>
        <w:rPr>
          <w:rFonts w:hint="default" w:ascii="Times New Roman" w:hAnsi="Times New Roman" w:cs="Times New Roman"/>
          <w:color w:val="auto"/>
          <w:spacing w:val="0"/>
          <w:sz w:val="24"/>
          <w:szCs w:val="24"/>
          <w:highlight w:val="none"/>
          <w:lang w:val="en-US" w:eastAsia="zh-CN"/>
        </w:rPr>
        <w:t>mg/m</w:t>
      </w:r>
      <w:r>
        <w:rPr>
          <w:rFonts w:hint="default" w:ascii="Times New Roman" w:hAnsi="Times New Roman" w:cs="Times New Roman"/>
          <w:color w:val="auto"/>
          <w:spacing w:val="0"/>
          <w:sz w:val="24"/>
          <w:szCs w:val="24"/>
          <w:highlight w:val="none"/>
          <w:vertAlign w:val="superscript"/>
          <w:lang w:val="en-US" w:eastAsia="zh-CN"/>
        </w:rPr>
        <w:t>3</w:t>
      </w:r>
      <w:r>
        <w:rPr>
          <w:rFonts w:hint="default" w:ascii="Times New Roman" w:hAnsi="Times New Roman" w:cs="Times New Roman"/>
          <w:color w:val="auto"/>
          <w:spacing w:val="0"/>
          <w:sz w:val="24"/>
          <w:szCs w:val="24"/>
          <w:highlight w:val="none"/>
          <w:lang w:val="en-US" w:eastAsia="zh-CN"/>
        </w:rPr>
        <w:t>）</w:t>
      </w:r>
      <w:r>
        <w:rPr>
          <w:rFonts w:hint="default" w:ascii="Times New Roman" w:hAnsi="Times New Roman" w:eastAsia="宋体" w:cs="Times New Roman"/>
          <w:color w:val="auto"/>
          <w:sz w:val="24"/>
          <w:szCs w:val="24"/>
          <w:lang w:val="en-US" w:eastAsia="zh-CN"/>
        </w:rPr>
        <w:t>；颗粒物最高排放浓度为</w:t>
      </w:r>
      <w:r>
        <w:rPr>
          <w:rFonts w:hint="eastAsia" w:ascii="Times New Roman" w:hAnsi="Times New Roman" w:eastAsia="宋体" w:cs="Times New Roman"/>
          <w:color w:val="auto"/>
          <w:sz w:val="24"/>
          <w:szCs w:val="24"/>
          <w:lang w:val="en-US" w:eastAsia="zh-CN"/>
        </w:rPr>
        <w:t>0.340</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w:t>
      </w:r>
      <w:r>
        <w:rPr>
          <w:rFonts w:hint="default" w:ascii="Times New Roman" w:hAnsi="Times New Roman" w:eastAsia="宋体" w:cs="Times New Roman"/>
          <w:sz w:val="24"/>
          <w:szCs w:val="24"/>
          <w:lang w:val="en-US" w:eastAsia="zh-CN"/>
        </w:rPr>
        <w:t>《大气污染物综合排放标准》（GB16297-1996）表2无组织排放监控浓度限值标准</w:t>
      </w:r>
      <w:r>
        <w:rPr>
          <w:rFonts w:hint="eastAsia" w:ascii="Times New Roman" w:hAnsi="Times New Roman" w:eastAsia="宋体" w:cs="Times New Roman"/>
          <w:sz w:val="24"/>
          <w:szCs w:val="24"/>
          <w:lang w:val="en-US" w:eastAsia="zh-CN"/>
        </w:rPr>
        <w:t>要求</w:t>
      </w:r>
      <w:r>
        <w:rPr>
          <w:rFonts w:hint="default" w:ascii="Times New Roman" w:hAnsi="Times New Roman" w:eastAsia="宋体" w:cs="Times New Roman"/>
          <w:color w:val="auto"/>
          <w:sz w:val="24"/>
          <w:szCs w:val="24"/>
          <w:lang w:val="en-US" w:eastAsia="zh-CN"/>
        </w:rPr>
        <w:t>（颗粒物≤1.0mg/m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keepNext w:val="0"/>
        <w:keepLines w:val="0"/>
        <w:pageBreakBefore w:val="0"/>
        <w:widowControl w:val="0"/>
        <w:kinsoku/>
        <w:wordWrap/>
        <w:overflowPunct/>
        <w:topLinePunct w:val="0"/>
        <w:bidi w:val="0"/>
        <w:spacing w:line="420" w:lineRule="exact"/>
        <w:ind w:firstLine="480" w:firstLineChars="200"/>
        <w:jc w:val="left"/>
        <w:textAlignment w:val="auto"/>
        <w:rPr>
          <w:rFonts w:hint="default" w:ascii="Times New Roman" w:hAnsi="Times New Roman" w:eastAsia="宋体" w:cs="Times New Roman"/>
          <w:kern w:val="0"/>
          <w:sz w:val="24"/>
          <w:szCs w:val="24"/>
          <w:highlight w:val="none"/>
        </w:rPr>
      </w:pPr>
      <w:r>
        <w:rPr>
          <w:rFonts w:hint="default" w:ascii="Times New Roman" w:hAnsi="Times New Roman" w:eastAsia="宋体" w:cs="Times New Roman"/>
          <w:color w:val="auto"/>
          <w:sz w:val="24"/>
          <w:szCs w:val="24"/>
          <w:lang w:val="en-US" w:eastAsia="zh-CN"/>
        </w:rPr>
        <w:t>车间无组织废气中，非甲烷总烃最高排放浓度为</w:t>
      </w:r>
      <w:r>
        <w:rPr>
          <w:rFonts w:hint="eastAsia" w:ascii="Times New Roman" w:hAnsi="Times New Roman" w:eastAsia="宋体" w:cs="Times New Roman"/>
          <w:color w:val="auto"/>
          <w:sz w:val="24"/>
          <w:szCs w:val="24"/>
          <w:lang w:val="en-US" w:eastAsia="zh-CN"/>
        </w:rPr>
        <w:t>1.12</w:t>
      </w:r>
      <w:r>
        <w:rPr>
          <w:rFonts w:hint="default" w:ascii="Times New Roman" w:hAnsi="Times New Roman" w:eastAsia="宋体" w:cs="Times New Roman"/>
          <w:color w:val="auto"/>
          <w:sz w:val="24"/>
          <w:szCs w:val="24"/>
          <w:lang w:val="en-US" w:eastAsia="zh-CN"/>
        </w:rPr>
        <w:t>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，满足《工业企业挥发性有机物排放控制标准》（DB13/2322-2016）表3生产车间或生产设备边界大气污染物浓度限值要求；同时满足《挥发性有机物无组织排放控制标准》（GB 37822-2019）表A.1厂区内VOCs无组织特别排放限值</w:t>
      </w:r>
      <w:r>
        <w:rPr>
          <w:rFonts w:hint="eastAsia" w:ascii="Times New Roman" w:hAnsi="Times New Roman" w:eastAsia="宋体" w:cs="Times New Roman"/>
          <w:color w:val="auto"/>
          <w:sz w:val="24"/>
          <w:szCs w:val="24"/>
          <w:lang w:val="en-US" w:eastAsia="zh-CN"/>
        </w:rPr>
        <w:t>要求</w:t>
      </w:r>
      <w:r>
        <w:rPr>
          <w:rFonts w:hint="default" w:ascii="Times New Roman" w:hAnsi="Times New Roman" w:eastAsia="宋体" w:cs="Times New Roman"/>
          <w:color w:val="auto"/>
          <w:sz w:val="24"/>
          <w:szCs w:val="24"/>
          <w:lang w:val="en-US" w:eastAsia="zh-CN"/>
        </w:rPr>
        <w:t>（非甲烷总烃≤4.0mg/m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sz w:val="24"/>
          <w:szCs w:val="24"/>
          <w:lang w:val="en-US" w:eastAsia="zh-CN"/>
        </w:rPr>
        <w:t>。</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rPr>
      </w:pPr>
      <w:r>
        <w:rPr>
          <w:rFonts w:hint="default" w:ascii="Times New Roman" w:hAnsi="Times New Roman" w:eastAsia="宋体" w:cs="Times New Roman"/>
          <w:spacing w:val="0"/>
          <w:sz w:val="24"/>
          <w:szCs w:val="24"/>
        </w:rPr>
        <w:t>（2）噪声</w:t>
      </w:r>
    </w:p>
    <w:p>
      <w:pPr>
        <w:keepNext w:val="0"/>
        <w:keepLines w:val="0"/>
        <w:pageBreakBefore w:val="0"/>
        <w:widowControl w:val="0"/>
        <w:kinsoku/>
        <w:wordWrap/>
        <w:overflowPunct/>
        <w:topLinePunct w:val="0"/>
        <w:bidi w:val="0"/>
        <w:spacing w:line="420" w:lineRule="exact"/>
        <w:ind w:firstLine="480" w:firstLineChars="200"/>
        <w:jc w:val="left"/>
        <w:textAlignment w:val="auto"/>
        <w:rPr>
          <w:rFonts w:hint="default" w:ascii="Times New Roman" w:hAnsi="Times New Roman" w:eastAsia="宋体" w:cs="Times New Roman"/>
          <w:color w:val="auto"/>
          <w:sz w:val="24"/>
          <w:szCs w:val="24"/>
          <w:lang w:val="en-US" w:eastAsia="zh-CN"/>
        </w:rPr>
      </w:pPr>
      <w:bookmarkStart w:id="350" w:name="_Hlk496998963"/>
      <w:r>
        <w:rPr>
          <w:rFonts w:hint="default" w:ascii="Times New Roman" w:hAnsi="Times New Roman" w:eastAsia="宋体" w:cs="Times New Roman"/>
          <w:color w:val="auto"/>
          <w:sz w:val="24"/>
          <w:szCs w:val="24"/>
          <w:lang w:val="en-US" w:eastAsia="zh-CN"/>
        </w:rPr>
        <w:t>项目</w:t>
      </w:r>
      <w:r>
        <w:rPr>
          <w:rFonts w:hint="eastAsia" w:ascii="Times New Roman" w:hAnsi="Times New Roman" w:eastAsia="宋体" w:cs="Times New Roman"/>
          <w:color w:val="auto"/>
          <w:sz w:val="24"/>
          <w:szCs w:val="24"/>
          <w:lang w:val="en-US" w:eastAsia="zh-CN"/>
        </w:rPr>
        <w:t>东、北、南</w:t>
      </w:r>
      <w:r>
        <w:rPr>
          <w:rFonts w:hint="default" w:ascii="Times New Roman" w:hAnsi="Times New Roman" w:eastAsia="宋体" w:cs="Times New Roman"/>
          <w:color w:val="auto"/>
          <w:sz w:val="24"/>
          <w:szCs w:val="24"/>
          <w:lang w:val="en-US" w:eastAsia="zh-CN"/>
        </w:rPr>
        <w:t>厂界噪声昼间值范围为</w:t>
      </w:r>
      <w:r>
        <w:rPr>
          <w:rFonts w:hint="eastAsia" w:ascii="Times New Roman" w:hAnsi="Times New Roman" w:eastAsia="宋体" w:cs="Times New Roman"/>
          <w:color w:val="auto"/>
          <w:sz w:val="24"/>
          <w:szCs w:val="24"/>
          <w:lang w:val="en-US" w:eastAsia="zh-CN"/>
        </w:rPr>
        <w:t>52.4</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58.8</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w:t>
      </w:r>
      <w:r>
        <w:rPr>
          <w:rFonts w:hint="default" w:ascii="Times New Roman" w:hAnsi="Times New Roman" w:eastAsia="宋体" w:cs="Times New Roman"/>
          <w:color w:val="auto"/>
          <w:sz w:val="24"/>
          <w:szCs w:val="24"/>
          <w:lang w:val="en-US" w:eastAsia="zh-CN"/>
        </w:rPr>
        <w:t>间值范围为</w:t>
      </w:r>
      <w:r>
        <w:rPr>
          <w:rFonts w:hint="eastAsia" w:ascii="Times New Roman" w:hAnsi="Times New Roman" w:eastAsia="宋体" w:cs="Times New Roman"/>
          <w:color w:val="auto"/>
          <w:sz w:val="24"/>
          <w:szCs w:val="24"/>
          <w:lang w:val="en-US" w:eastAsia="zh-CN"/>
        </w:rPr>
        <w:t>45.9~48.1</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，均</w:t>
      </w:r>
      <w:r>
        <w:rPr>
          <w:rFonts w:hint="default" w:ascii="Times New Roman" w:hAnsi="Times New Roman" w:eastAsia="宋体" w:cs="Times New Roman"/>
          <w:color w:val="auto"/>
          <w:sz w:val="24"/>
          <w:szCs w:val="24"/>
          <w:lang w:val="en-US" w:eastAsia="zh-CN"/>
        </w:rPr>
        <w:t>满足《工业企业厂界环境噪声排放标准》（GB 12348-2008）中</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类标准限值要求（昼间≤</w:t>
      </w:r>
      <w:r>
        <w:rPr>
          <w:rFonts w:hint="eastAsia" w:ascii="Times New Roman" w:hAnsi="Times New Roman" w:eastAsia="宋体" w:cs="Times New Roman"/>
          <w:color w:val="auto"/>
          <w:sz w:val="24"/>
          <w:szCs w:val="24"/>
          <w:lang w:val="en-US" w:eastAsia="zh-CN"/>
        </w:rPr>
        <w:t>60</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，夜间</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50</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；西</w:t>
      </w:r>
      <w:r>
        <w:rPr>
          <w:rFonts w:hint="default" w:ascii="Times New Roman" w:hAnsi="Times New Roman" w:eastAsia="宋体" w:cs="Times New Roman"/>
          <w:color w:val="auto"/>
          <w:sz w:val="24"/>
          <w:szCs w:val="24"/>
          <w:lang w:val="en-US" w:eastAsia="zh-CN"/>
        </w:rPr>
        <w:t>厂界噪声昼间值范围为</w:t>
      </w:r>
      <w:r>
        <w:rPr>
          <w:rFonts w:hint="eastAsia" w:ascii="Times New Roman" w:hAnsi="Times New Roman" w:eastAsia="宋体" w:cs="Times New Roman"/>
          <w:color w:val="auto"/>
          <w:sz w:val="24"/>
          <w:szCs w:val="24"/>
          <w:lang w:val="en-US" w:eastAsia="zh-CN"/>
        </w:rPr>
        <w:t>58.5</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58.7</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w:t>
      </w:r>
      <w:r>
        <w:rPr>
          <w:rFonts w:hint="default" w:ascii="Times New Roman" w:hAnsi="Times New Roman" w:eastAsia="宋体" w:cs="Times New Roman"/>
          <w:color w:val="auto"/>
          <w:sz w:val="24"/>
          <w:szCs w:val="24"/>
          <w:lang w:val="en-US" w:eastAsia="zh-CN"/>
        </w:rPr>
        <w:t>间值范围为</w:t>
      </w:r>
      <w:r>
        <w:rPr>
          <w:rFonts w:hint="eastAsia" w:ascii="Times New Roman" w:hAnsi="Times New Roman" w:eastAsia="宋体" w:cs="Times New Roman"/>
          <w:color w:val="auto"/>
          <w:sz w:val="24"/>
          <w:szCs w:val="24"/>
          <w:lang w:val="en-US" w:eastAsia="zh-CN"/>
        </w:rPr>
        <w:t>44.8</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47.5</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，均</w:t>
      </w:r>
      <w:r>
        <w:rPr>
          <w:rFonts w:hint="default" w:ascii="Times New Roman" w:hAnsi="Times New Roman" w:eastAsia="宋体" w:cs="Times New Roman"/>
          <w:color w:val="auto"/>
          <w:sz w:val="24"/>
          <w:szCs w:val="24"/>
          <w:lang w:val="en-US" w:eastAsia="zh-CN"/>
        </w:rPr>
        <w:t>满足《工业企业厂界环境噪声排放标准》（GB 12348-2008）中</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类标准限值要求（昼间≤</w:t>
      </w:r>
      <w:r>
        <w:rPr>
          <w:rFonts w:hint="eastAsia" w:ascii="Times New Roman" w:hAnsi="Times New Roman" w:eastAsia="宋体" w:cs="Times New Roman"/>
          <w:color w:val="auto"/>
          <w:sz w:val="24"/>
          <w:szCs w:val="24"/>
          <w:lang w:val="en-US" w:eastAsia="zh-CN"/>
        </w:rPr>
        <w:t>70</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，夜间</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55</w:t>
      </w:r>
      <w:r>
        <w:rPr>
          <w:rFonts w:hint="default" w:ascii="Times New Roman" w:hAnsi="Times New Roman" w:eastAsia="宋体" w:cs="Times New Roman"/>
          <w:color w:val="auto"/>
          <w:sz w:val="24"/>
          <w:szCs w:val="24"/>
          <w:lang w:val="en-US" w:eastAsia="zh-CN"/>
        </w:rPr>
        <w:t>dB（A））</w:t>
      </w:r>
      <w:r>
        <w:rPr>
          <w:rFonts w:hint="eastAsia" w:ascii="Times New Roman" w:hAnsi="Times New Roman" w:eastAsia="宋体" w:cs="Times New Roman"/>
          <w:color w:val="auto"/>
          <w:sz w:val="24"/>
          <w:szCs w:val="24"/>
          <w:lang w:val="en-US" w:eastAsia="zh-CN"/>
        </w:rPr>
        <w:t>。</w:t>
      </w:r>
    </w:p>
    <w:p>
      <w:pPr>
        <w:keepNext w:val="0"/>
        <w:keepLines w:val="0"/>
        <w:pageBreakBefore w:val="0"/>
        <w:numPr>
          <w:ilvl w:val="0"/>
          <w:numId w:val="2"/>
        </w:numPr>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highlight w:val="none"/>
        </w:rPr>
      </w:pPr>
      <w:r>
        <w:rPr>
          <w:rFonts w:hint="default" w:ascii="Times New Roman" w:hAnsi="Times New Roman" w:eastAsia="宋体" w:cs="Times New Roman"/>
          <w:spacing w:val="0"/>
          <w:sz w:val="24"/>
          <w:szCs w:val="24"/>
          <w:highlight w:val="none"/>
        </w:rPr>
        <w:t>废水</w:t>
      </w:r>
    </w:p>
    <w:bookmarkEnd w:id="350"/>
    <w:p>
      <w:pPr>
        <w:keepNext w:val="0"/>
        <w:keepLines w:val="0"/>
        <w:pageBreakBefore w:val="0"/>
        <w:widowControl w:val="0"/>
        <w:kinsoku/>
        <w:wordWrap/>
        <w:overflowPunct/>
        <w:topLinePunct w:val="0"/>
        <w:bidi w:val="0"/>
        <w:spacing w:line="420" w:lineRule="exact"/>
        <w:ind w:firstLine="480" w:firstLineChars="200"/>
        <w:jc w:val="left"/>
        <w:textAlignment w:val="auto"/>
        <w:rPr>
          <w:rFonts w:hint="default" w:ascii="Times New Roman" w:hAnsi="Times New Roman" w:eastAsia="宋体" w:cs="Times New Roman"/>
          <w:color w:val="auto"/>
          <w:sz w:val="24"/>
          <w:szCs w:val="24"/>
          <w:lang w:val="en-US" w:eastAsia="zh-CN"/>
        </w:rPr>
      </w:pPr>
      <w:bookmarkStart w:id="351" w:name="_Toc4537"/>
      <w:bookmarkStart w:id="352" w:name="_Toc6926"/>
      <w:r>
        <w:rPr>
          <w:sz w:val="24"/>
        </w:rPr>
        <w:t>项目生产过程无生产废水产生，主要为办公生活污水，办公生活污水经厂区化粪池处理后排入市政管网，最终进入沧州市运东污水处理厂进行处理</w:t>
      </w:r>
      <w:r>
        <w:rPr>
          <w:rFonts w:hint="eastAsia" w:ascii="Times New Roman" w:hAnsi="Times New Roman" w:eastAsia="宋体" w:cs="Times New Roman"/>
          <w:color w:val="auto"/>
          <w:sz w:val="24"/>
          <w:szCs w:val="24"/>
          <w:lang w:val="en-US" w:eastAsia="zh-CN"/>
        </w:rPr>
        <w:t>。</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kern w:val="0"/>
          <w:sz w:val="24"/>
          <w:szCs w:val="21"/>
          <w:lang w:eastAsia="zh-CN"/>
        </w:rPr>
      </w:pPr>
      <w:r>
        <w:rPr>
          <w:rFonts w:hint="default" w:ascii="Times New Roman" w:hAnsi="Times New Roman" w:eastAsia="宋体" w:cs="Times New Roman"/>
          <w:spacing w:val="0"/>
          <w:kern w:val="0"/>
          <w:sz w:val="24"/>
          <w:szCs w:val="21"/>
          <w:lang w:eastAsia="zh-CN"/>
        </w:rPr>
        <w:t>（4）固体废弃物</w:t>
      </w:r>
      <w:bookmarkEnd w:id="351"/>
      <w:bookmarkEnd w:id="352"/>
    </w:p>
    <w:p>
      <w:pPr>
        <w:keepNext w:val="0"/>
        <w:keepLines w:val="0"/>
        <w:pageBreakBefore w:val="0"/>
        <w:widowControl w:val="0"/>
        <w:kinsoku/>
        <w:wordWrap/>
        <w:overflowPunct/>
        <w:topLinePunct w:val="0"/>
        <w:bidi w:val="0"/>
        <w:spacing w:line="420" w:lineRule="exact"/>
        <w:ind w:firstLine="480" w:firstLineChars="200"/>
        <w:jc w:val="left"/>
        <w:textAlignment w:val="auto"/>
        <w:rPr>
          <w:rFonts w:hint="default" w:ascii="Times New Roman" w:hAnsi="Times New Roman" w:eastAsia="宋体" w:cs="Times New Roman"/>
          <w:color w:val="auto"/>
          <w:sz w:val="24"/>
          <w:szCs w:val="24"/>
          <w:lang w:val="en-US" w:eastAsia="zh-CN"/>
        </w:rPr>
      </w:pPr>
      <w:bookmarkStart w:id="353" w:name="_Toc9384"/>
      <w:bookmarkStart w:id="354" w:name="_Toc25461"/>
      <w:bookmarkStart w:id="355" w:name="_Hlk496999304"/>
      <w:r>
        <w:rPr>
          <w:sz w:val="24"/>
        </w:rPr>
        <w:t>项目产生的固体废物主要为废零部件、焊渣、</w:t>
      </w:r>
      <w:r>
        <w:rPr>
          <w:rFonts w:hint="eastAsia"/>
          <w:sz w:val="24"/>
        </w:rPr>
        <w:t>废旧金属和废砂纸</w:t>
      </w:r>
      <w:r>
        <w:rPr>
          <w:sz w:val="24"/>
        </w:rPr>
        <w:t>为一般工业固废，经收集后外售；废机油、废机滤、废油漆桶、废机油桶、废过滤棉、废活性炭、漆渣为危险废物，收集后暂存在厂区危废间内，委托有资质单位处置。</w:t>
      </w:r>
      <w:r>
        <w:rPr>
          <w:kern w:val="0"/>
          <w:sz w:val="24"/>
        </w:rPr>
        <w:t>职工办公生活产生的生活垃圾，由环卫部门定期收集后处理</w:t>
      </w:r>
      <w:r>
        <w:rPr>
          <w:rFonts w:hint="eastAsia" w:ascii="Times New Roman" w:hAnsi="Times New Roman" w:eastAsia="宋体" w:cs="Times New Roman"/>
          <w:color w:val="auto"/>
          <w:sz w:val="24"/>
          <w:szCs w:val="24"/>
          <w:lang w:val="en-US" w:eastAsia="zh-CN"/>
        </w:rPr>
        <w:t>。</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kern w:val="0"/>
          <w:sz w:val="24"/>
          <w:szCs w:val="21"/>
          <w:lang w:val="en-US" w:eastAsia="zh-CN"/>
        </w:rPr>
      </w:pPr>
      <w:r>
        <w:rPr>
          <w:rFonts w:hint="default" w:ascii="Times New Roman" w:hAnsi="Times New Roman" w:eastAsia="宋体" w:cs="Times New Roman"/>
          <w:spacing w:val="0"/>
          <w:sz w:val="24"/>
          <w:szCs w:val="24"/>
          <w:lang w:eastAsia="zh-CN"/>
        </w:rPr>
        <w:t>（5）</w:t>
      </w:r>
      <w:r>
        <w:rPr>
          <w:rFonts w:hint="default" w:ascii="Times New Roman" w:hAnsi="Times New Roman" w:eastAsia="宋体" w:cs="Times New Roman"/>
          <w:spacing w:val="0"/>
          <w:sz w:val="24"/>
          <w:szCs w:val="24"/>
          <w:lang w:val="en-US" w:eastAsia="zh-CN"/>
        </w:rPr>
        <w:t>主</w:t>
      </w:r>
      <w:r>
        <w:rPr>
          <w:rFonts w:hint="default" w:ascii="Times New Roman" w:hAnsi="Times New Roman" w:eastAsia="宋体" w:cs="Times New Roman"/>
          <w:spacing w:val="0"/>
          <w:kern w:val="0"/>
          <w:sz w:val="24"/>
          <w:szCs w:val="21"/>
          <w:lang w:val="en-US" w:eastAsia="zh-CN"/>
        </w:rPr>
        <w:t>要污染物排放总量</w:t>
      </w:r>
      <w:bookmarkEnd w:id="353"/>
      <w:bookmarkEnd w:id="354"/>
    </w:p>
    <w:p>
      <w:pPr>
        <w:keepNext w:val="0"/>
        <w:keepLines w:val="0"/>
        <w:pageBreakBefore w:val="0"/>
        <w:widowControl w:val="0"/>
        <w:kinsoku/>
        <w:wordWrap/>
        <w:overflowPunct/>
        <w:topLinePunct w:val="0"/>
        <w:autoSpaceDE w:val="0"/>
        <w:autoSpaceDN w:val="0"/>
        <w:bidi w:val="0"/>
        <w:adjustRightInd w:val="0"/>
        <w:spacing w:line="420" w:lineRule="exact"/>
        <w:ind w:left="0" w:leftChars="0" w:right="0" w:rightChars="0" w:firstLine="480" w:firstLineChars="200"/>
        <w:jc w:val="both"/>
        <w:textAlignment w:val="auto"/>
        <w:rPr>
          <w:rFonts w:hint="default" w:ascii="Times New Roman" w:hAnsi="Times New Roman" w:cs="Times New Roman" w:eastAsiaTheme="minorEastAsia"/>
          <w:color w:val="FF0000"/>
          <w:sz w:val="24"/>
          <w:szCs w:val="24"/>
          <w:highlight w:val="none"/>
          <w:lang w:val="en-US" w:eastAsia="zh-CN"/>
        </w:rPr>
      </w:pPr>
      <w:bookmarkStart w:id="356" w:name="_Toc3944"/>
      <w:bookmarkStart w:id="357" w:name="_Toc30605"/>
      <w:bookmarkStart w:id="358" w:name="_Toc6395"/>
      <w:bookmarkStart w:id="359" w:name="_Toc24650"/>
      <w:r>
        <w:rPr>
          <w:rFonts w:hint="default" w:ascii="Times New Roman" w:hAnsi="Times New Roman" w:eastAsia="宋体" w:cs="Times New Roman"/>
          <w:color w:val="auto"/>
          <w:sz w:val="24"/>
          <w:szCs w:val="24"/>
          <w:highlight w:val="none"/>
          <w:lang w:val="en-US" w:eastAsia="zh-CN"/>
        </w:rPr>
        <w:t>本项目</w:t>
      </w:r>
      <w:r>
        <w:rPr>
          <w:rFonts w:hint="default" w:ascii="Times New Roman" w:hAnsi="Times New Roman" w:eastAsia="宋体" w:cs="Times New Roman"/>
          <w:color w:val="auto"/>
          <w:sz w:val="24"/>
          <w:szCs w:val="24"/>
          <w:highlight w:val="none"/>
        </w:rPr>
        <w:t>监测期间</w:t>
      </w:r>
      <w:r>
        <w:rPr>
          <w:rFonts w:hint="default" w:ascii="Times New Roman" w:hAnsi="Times New Roman" w:eastAsia="宋体" w:cs="Times New Roman"/>
          <w:color w:val="auto"/>
          <w:sz w:val="24"/>
          <w:szCs w:val="24"/>
          <w:highlight w:val="none"/>
          <w:lang w:eastAsia="zh-CN"/>
        </w:rPr>
        <w:t>主要污染物排放</w:t>
      </w:r>
      <w:r>
        <w:rPr>
          <w:rFonts w:hint="default" w:ascii="Times New Roman" w:hAnsi="Times New Roman" w:eastAsia="宋体" w:cs="Times New Roman"/>
          <w:color w:val="auto"/>
          <w:sz w:val="24"/>
          <w:szCs w:val="24"/>
          <w:highlight w:val="none"/>
        </w:rPr>
        <w:t>总量为</w:t>
      </w:r>
      <w:r>
        <w:rPr>
          <w:rFonts w:hint="default" w:ascii="Times New Roman" w:hAnsi="Times New Roman" w:eastAsia="宋体" w:cs="Times New Roman"/>
          <w:color w:val="auto"/>
          <w:sz w:val="24"/>
          <w:szCs w:val="24"/>
          <w:highlight w:val="none"/>
          <w:lang w:eastAsia="zh-CN"/>
        </w:rPr>
        <w:t>非甲烷总烃：</w:t>
      </w:r>
      <w:r>
        <w:rPr>
          <w:rFonts w:hint="eastAsia" w:ascii="Times New Roman" w:hAnsi="Times New Roman" w:eastAsia="宋体" w:cs="Times New Roman"/>
          <w:color w:val="auto"/>
          <w:sz w:val="24"/>
          <w:szCs w:val="24"/>
          <w:highlight w:val="none"/>
          <w:lang w:val="en-US" w:eastAsia="zh-CN"/>
        </w:rPr>
        <w:t>0.024</w:t>
      </w:r>
      <w:r>
        <w:rPr>
          <w:rFonts w:hint="default" w:ascii="Times New Roman" w:hAnsi="Times New Roman" w:eastAsia="宋体" w:cs="Times New Roman"/>
          <w:color w:val="auto"/>
          <w:sz w:val="24"/>
          <w:szCs w:val="24"/>
          <w:highlight w:val="none"/>
          <w:lang w:eastAsia="zh-CN"/>
        </w:rPr>
        <w:t>t/a、</w:t>
      </w:r>
      <w:r>
        <w:rPr>
          <w:rFonts w:hint="default" w:ascii="Times New Roman" w:hAnsi="Times New Roman" w:eastAsia="宋体" w:cs="Times New Roman"/>
          <w:color w:val="auto"/>
          <w:sz w:val="24"/>
          <w:szCs w:val="24"/>
          <w:highlight w:val="none"/>
          <w:lang w:val="en-US" w:eastAsia="zh-CN"/>
        </w:rPr>
        <w:t>颗粒物</w:t>
      </w:r>
      <w:r>
        <w:rPr>
          <w:rFonts w:hint="default" w:ascii="Times New Roman" w:hAnsi="Times New Roman" w:eastAsia="宋体" w:cs="Times New Roman"/>
          <w:color w:val="auto"/>
          <w:sz w:val="24"/>
          <w:szCs w:val="24"/>
          <w:highlight w:val="none"/>
          <w:lang w:eastAsia="zh-CN"/>
        </w:rPr>
        <w:t>：</w:t>
      </w:r>
      <w:r>
        <w:rPr>
          <w:rFonts w:hint="eastAsia" w:ascii="Times New Roman" w:hAnsi="Times New Roman" w:eastAsia="宋体" w:cs="Times New Roman"/>
          <w:color w:val="auto"/>
          <w:sz w:val="24"/>
          <w:szCs w:val="24"/>
          <w:highlight w:val="none"/>
          <w:lang w:val="en-US" w:eastAsia="zh-CN"/>
        </w:rPr>
        <w:t>0.020</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、甲苯：</w:t>
      </w:r>
      <w:r>
        <w:rPr>
          <w:rFonts w:hint="eastAsia" w:ascii="Times New Roman" w:hAnsi="Times New Roman" w:eastAsia="宋体" w:cs="Times New Roman"/>
          <w:color w:val="auto"/>
          <w:sz w:val="24"/>
          <w:szCs w:val="24"/>
          <w:highlight w:val="none"/>
          <w:lang w:val="en-US" w:eastAsia="zh-CN"/>
        </w:rPr>
        <w:t>1.13</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10</w:t>
      </w:r>
      <w:r>
        <w:rPr>
          <w:rFonts w:hint="eastAsia" w:ascii="Times New Roman" w:hAnsi="Times New Roman" w:eastAsia="宋体" w:cs="Times New Roman"/>
          <w:color w:val="auto"/>
          <w:sz w:val="24"/>
          <w:szCs w:val="24"/>
          <w:highlight w:val="none"/>
          <w:vertAlign w:val="superscript"/>
          <w:lang w:val="en-US" w:eastAsia="zh-CN"/>
        </w:rPr>
        <w:t>-5</w:t>
      </w:r>
      <w:r>
        <w:rPr>
          <w:rFonts w:hint="default" w:ascii="Times New Roman" w:hAnsi="Times New Roman" w:eastAsia="宋体" w:cs="Times New Roman"/>
          <w:color w:val="auto"/>
          <w:sz w:val="24"/>
          <w:szCs w:val="24"/>
          <w:highlight w:val="none"/>
          <w:lang w:eastAsia="zh-CN"/>
        </w:rPr>
        <w:t>t/at/a</w:t>
      </w:r>
      <w:r>
        <w:rPr>
          <w:rFonts w:hint="eastAsia" w:ascii="Times New Roman" w:hAnsi="Times New Roman" w:eastAsia="宋体" w:cs="Times New Roman"/>
          <w:color w:val="auto"/>
          <w:sz w:val="24"/>
          <w:szCs w:val="24"/>
          <w:highlight w:val="none"/>
          <w:lang w:eastAsia="zh-CN"/>
        </w:rPr>
        <w:t>、二甲苯：</w:t>
      </w:r>
      <w:r>
        <w:rPr>
          <w:rFonts w:hint="eastAsia" w:ascii="Times New Roman" w:hAnsi="Times New Roman" w:eastAsia="宋体" w:cs="Times New Roman"/>
          <w:color w:val="auto"/>
          <w:sz w:val="24"/>
          <w:szCs w:val="24"/>
          <w:highlight w:val="none"/>
          <w:lang w:val="en-US" w:eastAsia="zh-CN"/>
        </w:rPr>
        <w:t>1.13</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eastAsia="宋体" w:cs="Times New Roman"/>
          <w:color w:val="auto"/>
          <w:sz w:val="24"/>
          <w:szCs w:val="24"/>
          <w:highlight w:val="none"/>
          <w:lang w:val="en-US" w:eastAsia="zh-CN"/>
        </w:rPr>
        <w:t>10</w:t>
      </w:r>
      <w:r>
        <w:rPr>
          <w:rFonts w:hint="eastAsia" w:ascii="Times New Roman" w:hAnsi="Times New Roman" w:eastAsia="宋体" w:cs="Times New Roman"/>
          <w:color w:val="auto"/>
          <w:sz w:val="24"/>
          <w:szCs w:val="24"/>
          <w:highlight w:val="none"/>
          <w:vertAlign w:val="superscript"/>
          <w:lang w:val="en-US" w:eastAsia="zh-CN"/>
        </w:rPr>
        <w:t>-5</w:t>
      </w:r>
      <w:r>
        <w:rPr>
          <w:rFonts w:hint="default" w:ascii="Times New Roman" w:hAnsi="Times New Roman" w:eastAsia="宋体" w:cs="Times New Roman"/>
          <w:color w:val="auto"/>
          <w:sz w:val="24"/>
          <w:szCs w:val="24"/>
          <w:highlight w:val="none"/>
          <w:lang w:eastAsia="zh-CN"/>
        </w:rPr>
        <w:t>t/a</w:t>
      </w:r>
      <w:r>
        <w:rPr>
          <w:rFonts w:hint="eastAsia" w:ascii="Times New Roman" w:hAnsi="Times New Roman" w:eastAsia="宋体" w:cs="Times New Roman"/>
          <w:color w:val="auto"/>
          <w:sz w:val="24"/>
          <w:szCs w:val="24"/>
          <w:highlight w:val="none"/>
          <w:lang w:eastAsia="zh-CN"/>
        </w:rPr>
        <w:t>。</w:t>
      </w:r>
    </w:p>
    <w:p>
      <w:pPr>
        <w:pStyle w:val="5"/>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lang w:eastAsia="zh-CN"/>
        </w:rPr>
      </w:pPr>
      <w:r>
        <w:rPr>
          <w:rFonts w:hint="default" w:ascii="Times New Roman" w:hAnsi="Times New Roman" w:eastAsia="宋体" w:cs="Times New Roman"/>
          <w:spacing w:val="0"/>
          <w:sz w:val="24"/>
          <w:szCs w:val="24"/>
          <w:lang w:eastAsia="zh-CN"/>
        </w:rPr>
        <w:t>（</w:t>
      </w:r>
      <w:r>
        <w:rPr>
          <w:rFonts w:hint="default" w:ascii="Times New Roman" w:hAnsi="Times New Roman" w:eastAsia="宋体" w:cs="Times New Roman"/>
          <w:spacing w:val="0"/>
          <w:sz w:val="24"/>
          <w:szCs w:val="24"/>
          <w:lang w:val="en-US" w:eastAsia="zh-CN"/>
        </w:rPr>
        <w:t>6</w:t>
      </w:r>
      <w:r>
        <w:rPr>
          <w:rFonts w:hint="default" w:ascii="Times New Roman" w:hAnsi="Times New Roman" w:eastAsia="宋体" w:cs="Times New Roman"/>
          <w:spacing w:val="0"/>
          <w:sz w:val="24"/>
          <w:szCs w:val="24"/>
          <w:lang w:eastAsia="zh-CN"/>
        </w:rPr>
        <w:t>）结论</w:t>
      </w:r>
      <w:bookmarkEnd w:id="356"/>
      <w:bookmarkEnd w:id="357"/>
      <w:bookmarkEnd w:id="358"/>
      <w:bookmarkEnd w:id="359"/>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rPr>
      </w:pPr>
      <w:r>
        <w:rPr>
          <w:rFonts w:hint="default" w:ascii="Times New Roman" w:hAnsi="Times New Roman" w:cs="Times New Roman"/>
          <w:spacing w:val="0"/>
          <w:sz w:val="24"/>
          <w:szCs w:val="24"/>
        </w:rPr>
        <w:t>综上分析，项目已按环评及批复要求进行了环境保护设施建设，根据监测结果可满足相关环境排放标准要求。</w:t>
      </w:r>
    </w:p>
    <w:bookmarkEnd w:id="355"/>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default" w:ascii="Times New Roman" w:hAnsi="Times New Roman" w:eastAsia="宋体" w:cs="Times New Roman"/>
          <w:spacing w:val="0"/>
        </w:rPr>
      </w:pPr>
      <w:bookmarkStart w:id="360" w:name="_Toc30691"/>
      <w:bookmarkStart w:id="361" w:name="_Toc10340"/>
      <w:bookmarkStart w:id="362" w:name="_Toc24691"/>
      <w:bookmarkStart w:id="363" w:name="_Toc21981"/>
      <w:r>
        <w:rPr>
          <w:rFonts w:hint="default" w:ascii="Times New Roman" w:hAnsi="Times New Roman" w:eastAsia="宋体" w:cs="Times New Roman"/>
          <w:spacing w:val="0"/>
        </w:rPr>
        <w:t>9.2 建议</w:t>
      </w:r>
      <w:bookmarkEnd w:id="360"/>
      <w:bookmarkEnd w:id="361"/>
      <w:bookmarkEnd w:id="362"/>
      <w:bookmarkEnd w:id="363"/>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364" w:name="_Toc27810"/>
      <w:bookmarkStart w:id="365" w:name="_Toc9427"/>
      <w:r>
        <w:rPr>
          <w:rFonts w:hint="default" w:ascii="Times New Roman" w:hAnsi="Times New Roman" w:eastAsia="宋体" w:cs="Times New Roman"/>
          <w:spacing w:val="0"/>
          <w:sz w:val="24"/>
          <w:lang w:eastAsia="zh-CN"/>
        </w:rPr>
        <w:t>企业定期对设备设施进行维护、检修；定期对员工进行培训，提高员工安全环保意识。</w:t>
      </w:r>
      <w:r>
        <w:rPr>
          <w:rFonts w:hint="default" w:ascii="Times New Roman" w:hAnsi="Times New Roman" w:eastAsia="宋体" w:cs="Times New Roman"/>
          <w:color w:val="auto"/>
          <w:spacing w:val="0"/>
          <w:sz w:val="24"/>
          <w:szCs w:val="24"/>
          <w:lang w:eastAsia="zh-CN"/>
        </w:rPr>
        <w:t>确保</w:t>
      </w:r>
      <w:r>
        <w:rPr>
          <w:rFonts w:hint="default" w:ascii="Times New Roman" w:hAnsi="Times New Roman" w:eastAsia="宋体" w:cs="Times New Roman"/>
          <w:color w:val="auto"/>
          <w:spacing w:val="0"/>
          <w:sz w:val="24"/>
          <w:szCs w:val="24"/>
        </w:rPr>
        <w:t>各项环保</w:t>
      </w:r>
      <w:r>
        <w:rPr>
          <w:rFonts w:hint="default" w:ascii="Times New Roman" w:hAnsi="Times New Roman" w:eastAsia="宋体" w:cs="Times New Roman"/>
          <w:color w:val="auto"/>
          <w:spacing w:val="0"/>
          <w:sz w:val="24"/>
          <w:szCs w:val="24"/>
          <w:lang w:eastAsia="zh-CN"/>
        </w:rPr>
        <w:t>设施正常运行</w:t>
      </w:r>
      <w:r>
        <w:rPr>
          <w:rFonts w:hint="default" w:ascii="Times New Roman" w:hAnsi="Times New Roman" w:eastAsia="宋体" w:cs="Times New Roman"/>
          <w:color w:val="auto"/>
          <w:spacing w:val="0"/>
          <w:sz w:val="24"/>
          <w:szCs w:val="24"/>
        </w:rPr>
        <w:t>，确保污染物达标排放。应加强环保管理，</w:t>
      </w:r>
      <w:r>
        <w:rPr>
          <w:rFonts w:hint="default" w:ascii="Times New Roman" w:hAnsi="Times New Roman" w:eastAsia="宋体" w:cs="Times New Roman"/>
          <w:color w:val="auto"/>
          <w:spacing w:val="0"/>
          <w:sz w:val="24"/>
          <w:szCs w:val="24"/>
          <w:lang w:eastAsia="zh-CN"/>
        </w:rPr>
        <w:t>加强巡检力度，</w:t>
      </w:r>
      <w:r>
        <w:rPr>
          <w:rFonts w:hint="default" w:ascii="Times New Roman" w:hAnsi="Times New Roman" w:eastAsia="宋体" w:cs="Times New Roman"/>
          <w:color w:val="auto"/>
          <w:spacing w:val="0"/>
          <w:sz w:val="24"/>
          <w:szCs w:val="24"/>
        </w:rPr>
        <w:t>发现问题及时处理。</w:t>
      </w:r>
      <w:bookmarkEnd w:id="364"/>
      <w:bookmarkEnd w:id="365"/>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eastAsia="zh-CN"/>
        </w:rPr>
        <w:t>附图</w:t>
      </w:r>
      <w:r>
        <w:rPr>
          <w:rFonts w:hint="default" w:ascii="Times New Roman" w:hAnsi="Times New Roman" w:eastAsia="宋体" w:cs="Times New Roman"/>
          <w:b/>
          <w:bCs/>
          <w:sz w:val="24"/>
          <w:szCs w:val="24"/>
          <w:lang w:val="en-US" w:eastAsia="zh-CN"/>
        </w:rPr>
        <w:t>1  项目地理位置图</w:t>
      </w:r>
    </w:p>
    <w:p>
      <w:pPr>
        <w:pStyle w:val="8"/>
        <w:rPr>
          <w:rFonts w:hint="eastAsia"/>
          <w:lang w:eastAsia="zh-CN"/>
        </w:rPr>
      </w:pPr>
      <w:r>
        <w:rPr>
          <w:rFonts w:hint="default" w:ascii="Times New Roman" w:hAnsi="Times New Roman" w:eastAsia="宋体" w:cs="Times New Roman"/>
          <w:b/>
          <w:bCs/>
          <w:kern w:val="0"/>
          <w:sz w:val="24"/>
          <w:szCs w:val="24"/>
          <w:lang w:eastAsia="zh-CN"/>
        </w:rPr>
        <w:drawing>
          <wp:anchor distT="0" distB="0" distL="114300" distR="114300" simplePos="0" relativeHeight="2176334848" behindDoc="0" locked="0" layoutInCell="1" allowOverlap="1">
            <wp:simplePos x="0" y="0"/>
            <wp:positionH relativeFrom="column">
              <wp:posOffset>1915795</wp:posOffset>
            </wp:positionH>
            <wp:positionV relativeFrom="paragraph">
              <wp:posOffset>-956945</wp:posOffset>
            </wp:positionV>
            <wp:extent cx="5047615" cy="7049135"/>
            <wp:effectExtent l="0" t="0" r="18415" b="635"/>
            <wp:wrapNone/>
            <wp:docPr id="3" name="图片 3" descr="2beeeff7ed99a260b699b3136f032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beeeff7ed99a260b699b3136f032da"/>
                    <pic:cNvPicPr>
                      <a:picLocks noChangeAspect="1"/>
                    </pic:cNvPicPr>
                  </pic:nvPicPr>
                  <pic:blipFill>
                    <a:blip r:embed="rId25"/>
                    <a:stretch>
                      <a:fillRect/>
                    </a:stretch>
                  </pic:blipFill>
                  <pic:spPr>
                    <a:xfrm rot="5400000">
                      <a:off x="0" y="0"/>
                      <a:ext cx="5047615" cy="7049135"/>
                    </a:xfrm>
                    <a:prstGeom prst="rect">
                      <a:avLst/>
                    </a:prstGeom>
                  </pic:spPr>
                </pic:pic>
              </a:graphicData>
            </a:graphic>
          </wp:anchor>
        </w:drawing>
      </w:r>
    </w:p>
    <w:p>
      <w:pPr>
        <w:pStyle w:val="8"/>
        <w:rPr>
          <w:rFonts w:hint="eastAsia"/>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eastAsia="zh-CN"/>
        </w:rPr>
      </w:pPr>
    </w:p>
    <w:p>
      <w:pPr>
        <w:widowControl/>
        <w:spacing w:line="480" w:lineRule="atLeast"/>
        <w:jc w:val="center"/>
        <w:rPr>
          <w:rFonts w:hint="default" w:ascii="Times New Roman" w:hAnsi="Times New Roman" w:eastAsia="宋体" w:cs="Times New Roman"/>
          <w:b/>
          <w:bCs/>
          <w:kern w:val="0"/>
          <w:sz w:val="24"/>
          <w:szCs w:val="24"/>
          <w:lang w:val="en-US" w:eastAsia="zh-CN"/>
        </w:rPr>
      </w:pPr>
      <w:r>
        <w:rPr>
          <w:rFonts w:hint="default" w:ascii="Times New Roman" w:hAnsi="Times New Roman" w:eastAsia="宋体" w:cs="Times New Roman"/>
          <w:b/>
          <w:bCs/>
          <w:kern w:val="0"/>
          <w:sz w:val="24"/>
          <w:szCs w:val="24"/>
          <w:lang w:val="en-US" w:eastAsia="zh-CN"/>
        </w:rPr>
        <w:drawing>
          <wp:anchor distT="0" distB="0" distL="114300" distR="114300" simplePos="0" relativeHeight="2176335872" behindDoc="0" locked="0" layoutInCell="1" allowOverlap="1">
            <wp:simplePos x="0" y="0"/>
            <wp:positionH relativeFrom="column">
              <wp:posOffset>2181860</wp:posOffset>
            </wp:positionH>
            <wp:positionV relativeFrom="paragraph">
              <wp:posOffset>-788670</wp:posOffset>
            </wp:positionV>
            <wp:extent cx="4906010" cy="7077075"/>
            <wp:effectExtent l="0" t="0" r="9525" b="8890"/>
            <wp:wrapNone/>
            <wp:docPr id="4" name="图片 4" descr="082303228711c7cd580213773326d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82303228711c7cd580213773326d76"/>
                    <pic:cNvPicPr>
                      <a:picLocks noChangeAspect="1"/>
                    </pic:cNvPicPr>
                  </pic:nvPicPr>
                  <pic:blipFill>
                    <a:blip r:embed="rId26"/>
                    <a:stretch>
                      <a:fillRect/>
                    </a:stretch>
                  </pic:blipFill>
                  <pic:spPr>
                    <a:xfrm rot="5400000">
                      <a:off x="0" y="0"/>
                      <a:ext cx="4906010" cy="7077075"/>
                    </a:xfrm>
                    <a:prstGeom prst="rect">
                      <a:avLst/>
                    </a:prstGeom>
                  </pic:spPr>
                </pic:pic>
              </a:graphicData>
            </a:graphic>
          </wp:anchor>
        </w:drawing>
      </w:r>
      <w:r>
        <w:rPr>
          <w:rFonts w:hint="default" w:ascii="Times New Roman" w:hAnsi="Times New Roman" w:eastAsia="宋体" w:cs="Times New Roman"/>
          <w:b/>
          <w:bCs/>
          <w:kern w:val="0"/>
          <w:sz w:val="24"/>
          <w:szCs w:val="24"/>
          <w:lang w:eastAsia="zh-CN"/>
        </w:rPr>
        <w:t>附图</w:t>
      </w:r>
      <w:r>
        <w:rPr>
          <w:rFonts w:hint="default" w:ascii="Times New Roman" w:hAnsi="Times New Roman" w:eastAsia="宋体" w:cs="Times New Roman"/>
          <w:b/>
          <w:bCs/>
          <w:kern w:val="0"/>
          <w:sz w:val="24"/>
          <w:szCs w:val="24"/>
          <w:lang w:val="en-US" w:eastAsia="zh-CN"/>
        </w:rPr>
        <w:t>2  企业周边关系图</w:t>
      </w:r>
    </w:p>
    <w:p>
      <w:pPr>
        <w:pStyle w:val="21"/>
        <w:jc w:val="center"/>
        <w:rPr>
          <w:rFonts w:hint="default" w:ascii="Times New Roman" w:hAnsi="Times New Roman" w:eastAsia="宋体" w:cs="Times New Roman"/>
          <w:b/>
          <w:bCs/>
          <w:kern w:val="0"/>
          <w:sz w:val="24"/>
          <w:szCs w:val="24"/>
          <w:lang w:val="en-US" w:eastAsia="zh-CN"/>
        </w:rPr>
      </w:pPr>
    </w:p>
    <w:p>
      <w:pPr>
        <w:pStyle w:val="7"/>
        <w:rPr>
          <w:rFonts w:hint="default"/>
          <w:lang w:val="en-US" w:eastAsia="zh-CN"/>
        </w:rPr>
        <w:sectPr>
          <w:headerReference r:id="rId11" w:type="default"/>
          <w:footerReference r:id="rId12" w:type="default"/>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highlight w:val="none"/>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b/>
          <w:bCs/>
          <w:kern w:val="0"/>
          <w:sz w:val="24"/>
          <w:szCs w:val="24"/>
          <w:highlight w:val="none"/>
          <w:lang w:eastAsia="zh-CN"/>
        </w:rPr>
        <w:drawing>
          <wp:anchor distT="0" distB="0" distL="114300" distR="114300" simplePos="0" relativeHeight="2176338944" behindDoc="0" locked="0" layoutInCell="1" allowOverlap="1">
            <wp:simplePos x="0" y="0"/>
            <wp:positionH relativeFrom="column">
              <wp:posOffset>895985</wp:posOffset>
            </wp:positionH>
            <wp:positionV relativeFrom="paragraph">
              <wp:posOffset>434340</wp:posOffset>
            </wp:positionV>
            <wp:extent cx="7311390" cy="5097145"/>
            <wp:effectExtent l="0" t="0" r="3810" b="8255"/>
            <wp:wrapNone/>
            <wp:docPr id="5" name="图片 5" descr="6269a264ea4985293b79bea2ed5c7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269a264ea4985293b79bea2ed5c77f"/>
                    <pic:cNvPicPr>
                      <a:picLocks noChangeAspect="1"/>
                    </pic:cNvPicPr>
                  </pic:nvPicPr>
                  <pic:blipFill>
                    <a:blip r:embed="rId27"/>
                    <a:stretch>
                      <a:fillRect/>
                    </a:stretch>
                  </pic:blipFill>
                  <pic:spPr>
                    <a:xfrm>
                      <a:off x="0" y="0"/>
                      <a:ext cx="7311390" cy="5097145"/>
                    </a:xfrm>
                    <a:prstGeom prst="rect">
                      <a:avLst/>
                    </a:prstGeom>
                  </pic:spPr>
                </pic:pic>
              </a:graphicData>
            </a:graphic>
          </wp:anchor>
        </w:drawing>
      </w:r>
      <w:r>
        <w:rPr>
          <w:rFonts w:hint="default" w:ascii="Times New Roman" w:hAnsi="Times New Roman" w:eastAsia="宋体" w:cs="Times New Roman"/>
          <w:b/>
          <w:bCs/>
          <w:kern w:val="0"/>
          <w:sz w:val="24"/>
          <w:szCs w:val="24"/>
          <w:highlight w:val="none"/>
          <w:lang w:eastAsia="zh-CN"/>
        </w:rPr>
        <w:t>附图</w:t>
      </w:r>
      <w:r>
        <w:rPr>
          <w:rFonts w:hint="default" w:ascii="Times New Roman" w:hAnsi="Times New Roman" w:cs="Times New Roman"/>
          <w:b/>
          <w:bCs/>
          <w:kern w:val="0"/>
          <w:sz w:val="24"/>
          <w:szCs w:val="24"/>
          <w:highlight w:val="none"/>
          <w:lang w:val="en-US" w:eastAsia="zh-CN"/>
        </w:rPr>
        <w:t>3</w:t>
      </w:r>
      <w:r>
        <w:rPr>
          <w:rFonts w:hint="default" w:ascii="Times New Roman" w:hAnsi="Times New Roman" w:eastAsia="宋体" w:cs="Times New Roman"/>
          <w:b/>
          <w:bCs/>
          <w:kern w:val="0"/>
          <w:sz w:val="24"/>
          <w:szCs w:val="24"/>
          <w:highlight w:val="none"/>
          <w:lang w:val="en-US" w:eastAsia="zh-CN"/>
        </w:rPr>
        <w:t xml:space="preserve">  项目平面布置图</w:t>
      </w:r>
    </w:p>
    <w:p>
      <w:pPr>
        <w:widowControl/>
        <w:spacing w:line="480" w:lineRule="atLeast"/>
        <w:jc w:val="center"/>
        <w:rPr>
          <w:rFonts w:hint="default" w:ascii="Times New Roman" w:hAnsi="Times New Roman" w:cs="Times New Roman"/>
          <w:b/>
          <w:bCs/>
          <w:kern w:val="0"/>
          <w:sz w:val="24"/>
          <w:szCs w:val="24"/>
          <w:lang w:val="en-US" w:eastAsia="zh-CN"/>
        </w:rPr>
      </w:pPr>
      <w:r>
        <w:rPr>
          <w:rFonts w:hint="default" w:ascii="Times New Roman" w:hAnsi="Times New Roman" w:eastAsia="宋体" w:cs="Times New Roman"/>
          <w:b/>
          <w:bCs/>
          <w:kern w:val="0"/>
          <w:sz w:val="24"/>
          <w:szCs w:val="24"/>
          <w:lang w:eastAsia="zh-CN"/>
        </w:rPr>
        <w:t>附件</w:t>
      </w:r>
      <w:r>
        <w:rPr>
          <w:rFonts w:hint="default" w:ascii="Times New Roman" w:hAnsi="Times New Roman" w:eastAsia="宋体" w:cs="Times New Roman"/>
          <w:b/>
          <w:bCs/>
          <w:kern w:val="0"/>
          <w:sz w:val="24"/>
          <w:szCs w:val="24"/>
          <w:lang w:val="en-US" w:eastAsia="zh-CN"/>
        </w:rPr>
        <w:t>1  项目审批意</w:t>
      </w:r>
      <w:r>
        <w:rPr>
          <w:rFonts w:hint="default" w:ascii="Times New Roman" w:hAnsi="Times New Roman" w:cs="Times New Roman"/>
          <w:b/>
          <w:bCs/>
          <w:kern w:val="0"/>
          <w:sz w:val="24"/>
          <w:szCs w:val="24"/>
          <w:lang w:val="en-US" w:eastAsia="zh-CN"/>
        </w:rPr>
        <w:t>见</w:t>
      </w:r>
    </w:p>
    <w:p>
      <w:pPr>
        <w:pStyle w:val="7"/>
        <w:rPr>
          <w:rFonts w:hint="default"/>
          <w:lang w:eastAsia="zh-CN"/>
        </w:rPr>
      </w:pPr>
      <w:r>
        <w:rPr>
          <w:rFonts w:hint="default" w:ascii="Times New Roman" w:hAnsi="Times New Roman" w:eastAsia="宋体" w:cs="Times New Roman"/>
          <w:b/>
          <w:bCs/>
          <w:sz w:val="28"/>
          <w:szCs w:val="32"/>
          <w:lang w:eastAsia="zh-CN"/>
        </w:rPr>
        <w:drawing>
          <wp:anchor distT="0" distB="0" distL="114300" distR="114300" simplePos="0" relativeHeight="2176331776" behindDoc="0" locked="0" layoutInCell="1" allowOverlap="1">
            <wp:simplePos x="0" y="0"/>
            <wp:positionH relativeFrom="column">
              <wp:posOffset>-139065</wp:posOffset>
            </wp:positionH>
            <wp:positionV relativeFrom="paragraph">
              <wp:posOffset>79375</wp:posOffset>
            </wp:positionV>
            <wp:extent cx="5595620" cy="7540625"/>
            <wp:effectExtent l="0" t="0" r="5080" b="3175"/>
            <wp:wrapNone/>
            <wp:docPr id="17" name="图片 17" descr="042f696b01b7ba52641b93747672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042f696b01b7ba52641b937476720c0"/>
                    <pic:cNvPicPr>
                      <a:picLocks noChangeAspect="1"/>
                    </pic:cNvPicPr>
                  </pic:nvPicPr>
                  <pic:blipFill>
                    <a:blip r:embed="rId28"/>
                    <a:srcRect l="2899" t="10038" r="8082"/>
                    <a:stretch>
                      <a:fillRect/>
                    </a:stretch>
                  </pic:blipFill>
                  <pic:spPr>
                    <a:xfrm>
                      <a:off x="0" y="0"/>
                      <a:ext cx="5595620" cy="7540625"/>
                    </a:xfrm>
                    <a:prstGeom prst="rect">
                      <a:avLst/>
                    </a:prstGeom>
                  </pic:spPr>
                </pic:pic>
              </a:graphicData>
            </a:graphic>
          </wp:anchor>
        </w:drawing>
      </w:r>
    </w:p>
    <w:p>
      <w:pPr>
        <w:pStyle w:val="7"/>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pStyle w:val="8"/>
        <w:rPr>
          <w:rFonts w:hint="default"/>
          <w:lang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附件2  营业执照</w:t>
      </w: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drawing>
          <wp:anchor distT="0" distB="0" distL="114300" distR="114300" simplePos="0" relativeHeight="2176337920" behindDoc="0" locked="0" layoutInCell="1" allowOverlap="1">
            <wp:simplePos x="0" y="0"/>
            <wp:positionH relativeFrom="column">
              <wp:posOffset>137160</wp:posOffset>
            </wp:positionH>
            <wp:positionV relativeFrom="paragraph">
              <wp:posOffset>50800</wp:posOffset>
            </wp:positionV>
            <wp:extent cx="5081270" cy="8138160"/>
            <wp:effectExtent l="0" t="0" r="5080" b="15240"/>
            <wp:wrapNone/>
            <wp:docPr id="6" name="图片 6" descr="b50e3a4d48f1087a673ae20c96fd5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b50e3a4d48f1087a673ae20c96fd52c"/>
                    <pic:cNvPicPr>
                      <a:picLocks noChangeAspect="1"/>
                    </pic:cNvPicPr>
                  </pic:nvPicPr>
                  <pic:blipFill>
                    <a:blip r:embed="rId29"/>
                    <a:srcRect t="11120" b="14886"/>
                    <a:stretch>
                      <a:fillRect/>
                    </a:stretch>
                  </pic:blipFill>
                  <pic:spPr>
                    <a:xfrm>
                      <a:off x="0" y="0"/>
                      <a:ext cx="5081270" cy="8138160"/>
                    </a:xfrm>
                    <a:prstGeom prst="rect">
                      <a:avLst/>
                    </a:prstGeom>
                  </pic:spPr>
                </pic:pic>
              </a:graphicData>
            </a:graphic>
          </wp:anchor>
        </w:drawing>
      </w: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eastAsia" w:ascii="Times New Roman" w:hAnsi="Times New Roman" w:cs="Times New Roman"/>
          <w:b/>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eastAsia" w:ascii="Times New Roman" w:hAnsi="Times New Roman" w:cs="Times New Roman"/>
          <w:b/>
          <w:bCs/>
          <w:sz w:val="24"/>
          <w:szCs w:val="24"/>
          <w:lang w:val="en-US" w:eastAsia="zh-CN"/>
        </w:rPr>
        <w:t>附件3危废协议</w:t>
      </w:r>
    </w:p>
    <w:p>
      <w:pPr>
        <w:pStyle w:val="7"/>
        <w:ind w:left="0" w:leftChars="0" w:firstLine="0" w:firstLineChars="0"/>
        <w:rPr>
          <w:rFonts w:hint="default" w:ascii="Times New Roman" w:hAnsi="Times New Roman" w:cs="Times New Roman"/>
          <w:lang w:val="en-US" w:eastAsia="zh-CN"/>
        </w:rPr>
      </w:pPr>
      <w:r>
        <w:rPr>
          <w:rFonts w:hint="default" w:ascii="Times New Roman" w:hAnsi="Times New Roman" w:cs="Times New Roman"/>
          <w:lang w:eastAsia="zh-CN"/>
        </w:rPr>
        <w:drawing>
          <wp:anchor distT="0" distB="0" distL="114300" distR="114300" simplePos="0" relativeHeight="2176356352" behindDoc="0" locked="0" layoutInCell="1" allowOverlap="1">
            <wp:simplePos x="0" y="0"/>
            <wp:positionH relativeFrom="column">
              <wp:posOffset>-124460</wp:posOffset>
            </wp:positionH>
            <wp:positionV relativeFrom="paragraph">
              <wp:posOffset>64135</wp:posOffset>
            </wp:positionV>
            <wp:extent cx="5732145" cy="7643495"/>
            <wp:effectExtent l="0" t="0" r="1905" b="14605"/>
            <wp:wrapNone/>
            <wp:docPr id="7" name="图片 7" descr="02c5e6ad83554ceefbe5935d70650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2c5e6ad83554ceefbe5935d70650bb"/>
                    <pic:cNvPicPr>
                      <a:picLocks noChangeAspect="1"/>
                    </pic:cNvPicPr>
                  </pic:nvPicPr>
                  <pic:blipFill>
                    <a:blip r:embed="rId30"/>
                    <a:stretch>
                      <a:fillRect/>
                    </a:stretch>
                  </pic:blipFill>
                  <pic:spPr>
                    <a:xfrm>
                      <a:off x="0" y="0"/>
                      <a:ext cx="5732145" cy="7643495"/>
                    </a:xfrm>
                    <a:prstGeom prst="rect">
                      <a:avLst/>
                    </a:prstGeom>
                  </pic:spPr>
                </pic:pic>
              </a:graphicData>
            </a:graphic>
          </wp:anchor>
        </w:drawing>
      </w:r>
    </w:p>
    <w:p>
      <w:pPr>
        <w:pStyle w:val="7"/>
        <w:ind w:left="0" w:leftChars="0" w:firstLine="0" w:firstLineChars="0"/>
        <w:rPr>
          <w:rFonts w:hint="default" w:ascii="Times New Roman" w:hAnsi="Times New Roman" w:cs="Times New Roman"/>
          <w:lang w:val="en-US" w:eastAsia="zh-CN"/>
        </w:rPr>
      </w:pPr>
    </w:p>
    <w:p>
      <w:pPr>
        <w:pStyle w:val="8"/>
        <w:rPr>
          <w:rFonts w:hint="default"/>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8"/>
        <w:ind w:left="0" w:leftChars="0" w:firstLine="0" w:firstLineChars="0"/>
        <w:rPr>
          <w:rFonts w:hint="default"/>
          <w:lang w:val="en-US" w:eastAsia="zh-CN"/>
        </w:rPr>
      </w:pPr>
      <w:r>
        <w:rPr>
          <w:rFonts w:hint="default"/>
          <w:lang w:eastAsia="zh-CN"/>
        </w:rPr>
        <w:drawing>
          <wp:anchor distT="0" distB="0" distL="114300" distR="114300" simplePos="0" relativeHeight="2176371712" behindDoc="0" locked="0" layoutInCell="1" allowOverlap="1">
            <wp:simplePos x="0" y="0"/>
            <wp:positionH relativeFrom="column">
              <wp:posOffset>-316230</wp:posOffset>
            </wp:positionH>
            <wp:positionV relativeFrom="paragraph">
              <wp:posOffset>147320</wp:posOffset>
            </wp:positionV>
            <wp:extent cx="5958840" cy="7945755"/>
            <wp:effectExtent l="0" t="0" r="3810" b="17145"/>
            <wp:wrapNone/>
            <wp:docPr id="8" name="图片 8" descr="81c28082d381c2258f12db03c18a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81c28082d381c2258f12db03c18a388"/>
                    <pic:cNvPicPr>
                      <a:picLocks noChangeAspect="1"/>
                    </pic:cNvPicPr>
                  </pic:nvPicPr>
                  <pic:blipFill>
                    <a:blip r:embed="rId31"/>
                    <a:stretch>
                      <a:fillRect/>
                    </a:stretch>
                  </pic:blipFill>
                  <pic:spPr>
                    <a:xfrm>
                      <a:off x="0" y="0"/>
                      <a:ext cx="5958840" cy="7945755"/>
                    </a:xfrm>
                    <a:prstGeom prst="rect">
                      <a:avLst/>
                    </a:prstGeom>
                  </pic:spPr>
                </pic:pic>
              </a:graphicData>
            </a:graphic>
          </wp:anchor>
        </w:drawing>
      </w:r>
    </w:p>
    <w:p>
      <w:pPr>
        <w:pStyle w:val="8"/>
        <w:ind w:left="0" w:leftChars="0" w:firstLine="0" w:firstLineChars="0"/>
        <w:rPr>
          <w:rFonts w:hint="default"/>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8"/>
        <w:ind w:left="0" w:leftChars="0" w:firstLine="0" w:firstLineChars="0"/>
        <w:rPr>
          <w:rFonts w:hint="default"/>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lang w:eastAsia="zh-CN"/>
        </w:rPr>
        <w:drawing>
          <wp:anchor distT="0" distB="0" distL="114300" distR="114300" simplePos="0" relativeHeight="2176388096" behindDoc="0" locked="0" layoutInCell="1" allowOverlap="1">
            <wp:simplePos x="0" y="0"/>
            <wp:positionH relativeFrom="column">
              <wp:posOffset>-36195</wp:posOffset>
            </wp:positionH>
            <wp:positionV relativeFrom="paragraph">
              <wp:posOffset>156210</wp:posOffset>
            </wp:positionV>
            <wp:extent cx="5742305" cy="7656830"/>
            <wp:effectExtent l="0" t="0" r="10795" b="1270"/>
            <wp:wrapNone/>
            <wp:docPr id="9" name="图片 9" descr="e5b25d235bd43e43ce27aad9a1986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5b25d235bd43e43ce27aad9a1986a6"/>
                    <pic:cNvPicPr>
                      <a:picLocks noChangeAspect="1"/>
                    </pic:cNvPicPr>
                  </pic:nvPicPr>
                  <pic:blipFill>
                    <a:blip r:embed="rId32"/>
                    <a:stretch>
                      <a:fillRect/>
                    </a:stretch>
                  </pic:blipFill>
                  <pic:spPr>
                    <a:xfrm>
                      <a:off x="0" y="0"/>
                      <a:ext cx="5742305" cy="7656830"/>
                    </a:xfrm>
                    <a:prstGeom prst="rect">
                      <a:avLst/>
                    </a:prstGeom>
                  </pic:spPr>
                </pic:pic>
              </a:graphicData>
            </a:graphic>
          </wp:anchor>
        </w:drawing>
      </w:r>
    </w:p>
    <w:p>
      <w:pPr>
        <w:pStyle w:val="8"/>
        <w:ind w:left="0" w:leftChars="0" w:firstLine="0" w:firstLineChars="0"/>
        <w:rPr>
          <w:rFonts w:hint="default"/>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lang w:val="en-US" w:eastAsia="zh-CN"/>
        </w:rPr>
        <w:drawing>
          <wp:anchor distT="0" distB="0" distL="114300" distR="114300" simplePos="0" relativeHeight="2176389120" behindDoc="0" locked="0" layoutInCell="1" allowOverlap="1">
            <wp:simplePos x="0" y="0"/>
            <wp:positionH relativeFrom="column">
              <wp:posOffset>79375</wp:posOffset>
            </wp:positionH>
            <wp:positionV relativeFrom="paragraph">
              <wp:posOffset>88265</wp:posOffset>
            </wp:positionV>
            <wp:extent cx="5266690" cy="7022465"/>
            <wp:effectExtent l="0" t="0" r="10160" b="6985"/>
            <wp:wrapNone/>
            <wp:docPr id="10" name="图片 10" descr="3787c23f1e3edcb7a00d87d909922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3787c23f1e3edcb7a00d87d909922fd"/>
                    <pic:cNvPicPr>
                      <a:picLocks noChangeAspect="1"/>
                    </pic:cNvPicPr>
                  </pic:nvPicPr>
                  <pic:blipFill>
                    <a:blip r:embed="rId33"/>
                    <a:stretch>
                      <a:fillRect/>
                    </a:stretch>
                  </pic:blipFill>
                  <pic:spPr>
                    <a:xfrm>
                      <a:off x="0" y="0"/>
                      <a:ext cx="5266690" cy="7022465"/>
                    </a:xfrm>
                    <a:prstGeom prst="rect">
                      <a:avLst/>
                    </a:prstGeom>
                  </pic:spPr>
                </pic:pic>
              </a:graphicData>
            </a:graphic>
          </wp:anchor>
        </w:drawing>
      </w:r>
    </w:p>
    <w:p>
      <w:pPr>
        <w:spacing w:beforeLines="50" w:afterLines="100"/>
        <w:jc w:val="center"/>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210" w:firstLineChars="100"/>
        <w:rPr>
          <w:rFonts w:hint="default" w:ascii="Times New Roman" w:hAnsi="Times New Roman" w:eastAsia="宋体" w:cs="Times New Roman"/>
        </w:rPr>
      </w:pPr>
      <w:r>
        <w:rPr>
          <w:rFonts w:hint="default" w:ascii="Times New Roman" w:hAnsi="Times New Roman" w:eastAsia="宋体" w:cs="Times New Roman"/>
        </w:rPr>
        <w:t>填表单位（盖章）：</w:t>
      </w:r>
      <w:r>
        <w:rPr>
          <w:rFonts w:hint="eastAsia" w:ascii="Times New Roman" w:hAnsi="Times New Roman" w:eastAsia="宋体" w:cs="Times New Roman"/>
          <w:lang w:val="en-US" w:eastAsia="zh-CN"/>
        </w:rPr>
        <w:t>沧州市新华区路捷汽车维修服务中心</w:t>
      </w:r>
      <w:r>
        <w:rPr>
          <w:rFonts w:hint="default" w:ascii="Times New Roman" w:hAnsi="Times New Roman" w:eastAsia="宋体" w:cs="Times New Roman"/>
        </w:rPr>
        <w:t xml:space="preserve">              填表人（签字）：                            项目经办人（签字）：</w:t>
      </w:r>
    </w:p>
    <w:tbl>
      <w:tblPr>
        <w:tblStyle w:val="22"/>
        <w:tblW w:w="158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993"/>
        <w:gridCol w:w="733"/>
        <w:gridCol w:w="829"/>
        <w:gridCol w:w="139"/>
        <w:gridCol w:w="1021"/>
        <w:gridCol w:w="904"/>
        <w:gridCol w:w="117"/>
        <w:gridCol w:w="914"/>
        <w:gridCol w:w="693"/>
        <w:gridCol w:w="745"/>
        <w:gridCol w:w="986"/>
        <w:gridCol w:w="290"/>
        <w:gridCol w:w="553"/>
        <w:gridCol w:w="1883"/>
        <w:gridCol w:w="1201"/>
        <w:gridCol w:w="523"/>
        <w:gridCol w:w="470"/>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restart"/>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r>
              <w:rPr>
                <w:rFonts w:hint="default" w:ascii="Times New Roman" w:hAnsi="Times New Roman" w:eastAsia="宋体" w:cs="Times New Roman"/>
                <w:color w:val="auto"/>
                <w:sz w:val="15"/>
                <w:szCs w:val="15"/>
              </w:rPr>
              <w:t>建设项目</w:t>
            </w:r>
          </w:p>
        </w:tc>
        <w:tc>
          <w:tcPr>
            <w:tcW w:w="1867" w:type="dxa"/>
            <w:gridSpan w:val="3"/>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textAlignment w:val="auto"/>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项目名称</w:t>
            </w:r>
          </w:p>
        </w:tc>
        <w:tc>
          <w:tcPr>
            <w:tcW w:w="4617" w:type="dxa"/>
            <w:gridSpan w:val="7"/>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eastAsia="宋体" w:cs="Times New Roman"/>
                <w:color w:val="auto"/>
                <w:kern w:val="2"/>
                <w:sz w:val="15"/>
                <w:szCs w:val="15"/>
                <w:highlight w:val="none"/>
                <w:lang w:val="en-US" w:eastAsia="zh-CN" w:bidi="ar-SA"/>
              </w:rPr>
              <w:t>沧州市新华区路捷汽车维修服务中心汽车维修项目</w:t>
            </w:r>
          </w:p>
        </w:tc>
        <w:tc>
          <w:tcPr>
            <w:tcW w:w="2021" w:type="dxa"/>
            <w:gridSpan w:val="3"/>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kern w:val="2"/>
                <w:sz w:val="15"/>
                <w:szCs w:val="15"/>
                <w:highlight w:val="none"/>
                <w:lang w:val="en-US" w:eastAsia="zh-CN" w:bidi="ar-SA"/>
              </w:rPr>
            </w:pPr>
            <w:r>
              <w:rPr>
                <w:rFonts w:hint="default" w:ascii="Times New Roman" w:hAnsi="Times New Roman" w:eastAsia="宋体" w:cs="Times New Roman"/>
                <w:color w:val="auto"/>
                <w:kern w:val="2"/>
                <w:sz w:val="15"/>
                <w:szCs w:val="15"/>
                <w:highlight w:val="none"/>
                <w:lang w:val="en-US" w:eastAsia="zh-CN" w:bidi="ar-SA"/>
              </w:rPr>
              <w:t>项目代码</w:t>
            </w:r>
          </w:p>
        </w:tc>
        <w:tc>
          <w:tcPr>
            <w:tcW w:w="2436" w:type="dxa"/>
            <w:gridSpan w:val="2"/>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kern w:val="2"/>
                <w:sz w:val="15"/>
                <w:szCs w:val="15"/>
                <w:highlight w:val="none"/>
                <w:lang w:val="en-US" w:eastAsia="zh-CN" w:bidi="ar-SA"/>
              </w:rPr>
            </w:pPr>
          </w:p>
        </w:tc>
        <w:tc>
          <w:tcPr>
            <w:tcW w:w="1724" w:type="dxa"/>
            <w:gridSpan w:val="2"/>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textAlignment w:val="auto"/>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建设地点</w:t>
            </w:r>
          </w:p>
        </w:tc>
        <w:tc>
          <w:tcPr>
            <w:tcW w:w="2766" w:type="dxa"/>
            <w:gridSpan w:val="5"/>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textAlignment w:val="auto"/>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eastAsia="宋体" w:cs="Times New Roman"/>
                <w:color w:val="auto"/>
                <w:kern w:val="2"/>
                <w:sz w:val="15"/>
                <w:szCs w:val="15"/>
                <w:highlight w:val="none"/>
                <w:lang w:val="en-US" w:eastAsia="zh-CN" w:bidi="ar-SA"/>
              </w:rPr>
              <w:t>河北省沧州市新华区307国道与清池大道交汇处北100米路东侧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行业分类(分类管理名录)</w:t>
            </w:r>
          </w:p>
        </w:tc>
        <w:tc>
          <w:tcPr>
            <w:tcW w:w="4617" w:type="dxa"/>
            <w:gridSpan w:val="7"/>
            <w:vAlign w:val="center"/>
          </w:tcPr>
          <w:p>
            <w:pPr>
              <w:pStyle w:val="49"/>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eastAsia="宋体" w:cs="Times New Roman"/>
                <w:color w:val="auto"/>
                <w:kern w:val="2"/>
                <w:sz w:val="15"/>
                <w:szCs w:val="15"/>
                <w:highlight w:val="none"/>
                <w:lang w:val="en-US" w:eastAsia="zh-CN" w:bidi="ar-SA"/>
              </w:rPr>
              <w:t>汽车修理与维护08111</w:t>
            </w: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kern w:val="2"/>
                <w:sz w:val="15"/>
                <w:szCs w:val="15"/>
                <w:highlight w:val="none"/>
                <w:lang w:val="en-US" w:eastAsia="zh-CN" w:bidi="ar-SA"/>
              </w:rPr>
            </w:pPr>
            <w:r>
              <w:rPr>
                <w:rFonts w:hint="default" w:ascii="Times New Roman" w:hAnsi="Times New Roman" w:eastAsia="宋体" w:cs="Times New Roman"/>
                <w:color w:val="auto"/>
                <w:kern w:val="2"/>
                <w:sz w:val="15"/>
                <w:szCs w:val="15"/>
                <w:highlight w:val="none"/>
                <w:lang w:val="en-US" w:eastAsia="zh-CN" w:bidi="ar-SA"/>
              </w:rPr>
              <w:t>建设性质</w:t>
            </w:r>
          </w:p>
        </w:tc>
        <w:tc>
          <w:tcPr>
            <w:tcW w:w="6926" w:type="dxa"/>
            <w:gridSpan w:val="9"/>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kern w:val="2"/>
                <w:sz w:val="15"/>
                <w:szCs w:val="15"/>
                <w:highlight w:val="none"/>
                <w:lang w:val="en-US" w:eastAsia="zh-CN" w:bidi="ar-SA"/>
              </w:rPr>
            </w:pPr>
            <w:r>
              <w:rPr>
                <w:rFonts w:hint="default" w:ascii="Times New Roman" w:hAnsi="Times New Roman" w:eastAsia="宋体" w:cs="Times New Roman"/>
                <w:color w:val="auto"/>
                <w:kern w:val="2"/>
                <w:sz w:val="15"/>
                <w:szCs w:val="15"/>
                <w:highlight w:val="none"/>
                <w:lang w:val="en-US" w:eastAsia="zh-CN" w:bidi="ar-SA"/>
              </w:rPr>
              <mc:AlternateContent>
                <mc:Choice Requires="wps">
                  <w:drawing>
                    <wp:anchor distT="0" distB="0" distL="114300" distR="114300" simplePos="0" relativeHeight="2176254976" behindDoc="0" locked="0" layoutInCell="1" allowOverlap="1">
                      <wp:simplePos x="0" y="0"/>
                      <wp:positionH relativeFrom="column">
                        <wp:posOffset>855345</wp:posOffset>
                      </wp:positionH>
                      <wp:positionV relativeFrom="paragraph">
                        <wp:posOffset>59690</wp:posOffset>
                      </wp:positionV>
                      <wp:extent cx="66675" cy="71120"/>
                      <wp:effectExtent l="6350" t="6350" r="22225" b="17780"/>
                      <wp:wrapNone/>
                      <wp:docPr id="87" name="矩形 87"/>
                      <wp:cNvGraphicFramePr/>
                      <a:graphic xmlns:a="http://schemas.openxmlformats.org/drawingml/2006/main">
                        <a:graphicData uri="http://schemas.microsoft.com/office/word/2010/wordprocessingShape">
                          <wps:wsp>
                            <wps:cNvSpPr/>
                            <wps:spPr>
                              <a:xfrm>
                                <a:off x="0" y="0"/>
                                <a:ext cx="66675" cy="71120"/>
                              </a:xfrm>
                              <a:prstGeom prst="rect">
                                <a:avLst/>
                              </a:prstGeom>
                              <a:no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margin-left:67.35pt;margin-top:4.7pt;height:5.6pt;width:5.25pt;z-index:-2118712320;v-text-anchor:middle;mso-width-relative:page;mso-height-relative:page;" filled="f" stroked="t" coordsize="21600,21600" o:gfxdata="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GYjxUTWAAAACAEAAA8AAAAAAAAAAQAgAAAAIgAAAGRycy9kb3ducmV2LnhtbFBLAQIUABQAAAAI&#10;AIdO4kA6Wv+R7wEAAM0DAAAOAAAAAAAAAAEAIAAAACUBAABkcnMvZTJvRG9jLnhtbFBLBQYAAAAA&#10;BgAGAFkBAACGBQAAAAA=&#10;">
                      <v:fill on="f"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color w:val="auto"/>
                <w:kern w:val="2"/>
                <w:sz w:val="15"/>
                <w:szCs w:val="15"/>
                <w:highlight w:val="none"/>
                <w:lang w:val="en-US" w:eastAsia="zh-CN" w:bidi="ar-SA"/>
              </w:rPr>
              <mc:AlternateContent>
                <mc:Choice Requires="wps">
                  <w:drawing>
                    <wp:anchor distT="0" distB="0" distL="114300" distR="114300" simplePos="0" relativeHeight="3416439808" behindDoc="0" locked="0" layoutInCell="1" allowOverlap="1">
                      <wp:simplePos x="0" y="0"/>
                      <wp:positionH relativeFrom="column">
                        <wp:posOffset>390525</wp:posOffset>
                      </wp:positionH>
                      <wp:positionV relativeFrom="paragraph">
                        <wp:posOffset>67310</wp:posOffset>
                      </wp:positionV>
                      <wp:extent cx="66675" cy="71120"/>
                      <wp:effectExtent l="6350" t="6350" r="22225" b="17780"/>
                      <wp:wrapNone/>
                      <wp:docPr id="26" name="矩形 26"/>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margin-left:30.75pt;margin-top:5.3pt;height:5.6pt;width:5.25pt;z-index:-878527488;v-text-anchor:middle;mso-width-relative:page;mso-height-relative:page;" fillcolor="#FFFFFF" filled="t" stroked="t" coordsize="21600,21600" o:gfxdata="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x+gpTUAAAABwEAAA8AAAAAAAAAAQAgAAAAIgAAAGRycy9kb3ducmV2LnhtbFBLAQIUABQA&#10;AAAIAIdO4kACNR0N9AEAAPYDAAAOAAAAAAAAAAEAIAAAACMBAABkcnMvZTJvRG9jLnhtbFBLBQYA&#10;AAAABgAGAFkBAACJBQ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color w:val="auto"/>
                <w:kern w:val="2"/>
                <w:sz w:val="15"/>
                <w:szCs w:val="15"/>
                <w:highlight w:val="none"/>
                <w:lang w:val="en-US" w:eastAsia="zh-CN" w:bidi="ar-SA"/>
              </w:rPr>
              <mc:AlternateContent>
                <mc:Choice Requires="wps">
                  <w:drawing>
                    <wp:anchor distT="0" distB="0" distL="114300" distR="114300" simplePos="0" relativeHeight="3416438784" behindDoc="0" locked="0" layoutInCell="1" allowOverlap="1">
                      <wp:simplePos x="0" y="0"/>
                      <wp:positionH relativeFrom="column">
                        <wp:posOffset>861060</wp:posOffset>
                      </wp:positionH>
                      <wp:positionV relativeFrom="paragraph">
                        <wp:posOffset>68580</wp:posOffset>
                      </wp:positionV>
                      <wp:extent cx="66675" cy="71120"/>
                      <wp:effectExtent l="6350" t="6350" r="22225" b="17780"/>
                      <wp:wrapNone/>
                      <wp:docPr id="25" name="矩形 25"/>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margin-left:67.8pt;margin-top:5.4pt;height:5.6pt;width:5.25pt;z-index:-878528512;v-text-anchor:middle;mso-width-relative:page;mso-height-relative:page;" fillcolor="#FFFFFF" filled="t" stroked="t" coordsize="21600,21600" o:gfxdata="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IVsQfUAAAACQEAAA8AAAAAAAAAAQAgAAAAIgAAAGRycy9kb3ducmV2LnhtbFBLAQIUABQA&#10;AAAIAIdO4kCXmnD79AEAAPYDAAAOAAAAAAAAAAEAIAAAACMBAABkcnMvZTJvRG9jLnhtbFBLBQYA&#10;AAAABgAGAFkBAACJBQ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color w:val="auto"/>
                <w:kern w:val="2"/>
                <w:sz w:val="15"/>
                <w:szCs w:val="15"/>
                <w:highlight w:val="none"/>
                <w:lang w:val="en-US" w:eastAsia="zh-CN" w:bidi="ar-SA"/>
              </w:rPr>
              <w:t xml:space="preserve">  新建    改扩建  </w:t>
            </w:r>
            <w:r>
              <w:rPr>
                <w:rFonts w:hint="default" w:ascii="Times New Roman" w:hAnsi="Times New Roman" w:eastAsia="宋体" w:cs="Times New Roman"/>
                <w:color w:val="auto"/>
                <w:kern w:val="2"/>
                <w:sz w:val="15"/>
                <w:szCs w:val="15"/>
                <w:highlight w:val="none"/>
                <w:lang w:val="en-US" w:eastAsia="zh-CN" w:bidi="ar-SA"/>
              </w:rPr>
              <mc:AlternateContent>
                <mc:Choice Requires="wps">
                  <w:drawing>
                    <wp:anchor distT="0" distB="0" distL="114300" distR="114300" simplePos="0" relativeHeight="141652992" behindDoc="0" locked="0" layoutInCell="1" allowOverlap="1">
                      <wp:simplePos x="0" y="0"/>
                      <wp:positionH relativeFrom="column">
                        <wp:posOffset>6350</wp:posOffset>
                      </wp:positionH>
                      <wp:positionV relativeFrom="paragraph">
                        <wp:posOffset>62230</wp:posOffset>
                      </wp:positionV>
                      <wp:extent cx="66675" cy="71120"/>
                      <wp:effectExtent l="6350" t="6350" r="22225" b="17780"/>
                      <wp:wrapNone/>
                      <wp:docPr id="24" name="矩形 24"/>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000000"/>
                              </a:solid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margin-left:0.5pt;margin-top:4.9pt;height:5.6pt;width:5.25pt;z-index:141652992;v-text-anchor:middle;mso-width-relative:page;mso-height-relative:page;" fillcolor="#000000" filled="t" stroked="t" coordsize="21600,21600" o:gfxdata="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v1DTrtQAAAAFAQAADwAAAAAAAAABACAAAAAiAAAAZHJzL2Rvd25yZXYueG1sUEsBAhQAFAAAAAgA&#10;h07iQCl1lnbwAQAA9gMAAA4AAAAAAAAAAQAgAAAAIwEAAGRycy9lMm9Eb2MueG1sUEsFBgAAAAAG&#10;AAYAWQEAAIUFA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color w:val="auto"/>
                <w:kern w:val="2"/>
                <w:sz w:val="15"/>
                <w:szCs w:val="15"/>
                <w:highlight w:val="none"/>
                <w:lang w:val="en-US" w:eastAsia="zh-CN" w:bidi="ar-SA"/>
              </w:rPr>
              <w:t xml:space="preserve">  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vAlign w:val="center"/>
          </w:tcPr>
          <w:p>
            <w:pPr>
              <w:keepNext w:val="0"/>
              <w:keepLines w:val="0"/>
              <w:suppressLineNumbers w:val="0"/>
              <w:spacing w:before="0" w:beforeAutospacing="0" w:after="0" w:afterAutospacing="0" w:line="260" w:lineRule="exact"/>
              <w:ind w:left="0" w:right="0"/>
              <w:jc w:val="lef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设计生产能力</w:t>
            </w:r>
          </w:p>
        </w:tc>
        <w:tc>
          <w:tcPr>
            <w:tcW w:w="4617" w:type="dxa"/>
            <w:gridSpan w:val="7"/>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年维修养护汽车3000辆次</w:t>
            </w:r>
          </w:p>
        </w:tc>
        <w:tc>
          <w:tcPr>
            <w:tcW w:w="2021" w:type="dxa"/>
            <w:gridSpan w:val="3"/>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cs="Times New Roman"/>
                <w:color w:val="auto"/>
                <w:kern w:val="2"/>
                <w:sz w:val="15"/>
                <w:szCs w:val="15"/>
                <w:highlight w:val="none"/>
                <w:lang w:val="en-US" w:eastAsia="zh-CN" w:bidi="ar-SA"/>
              </w:rPr>
            </w:pPr>
            <w:r>
              <w:rPr>
                <w:rFonts w:hint="default" w:ascii="Times New Roman" w:hAnsi="Times New Roman" w:cs="Times New Roman"/>
                <w:color w:val="auto"/>
                <w:kern w:val="2"/>
                <w:sz w:val="15"/>
                <w:szCs w:val="15"/>
                <w:highlight w:val="none"/>
                <w:lang w:val="en-US" w:eastAsia="zh-CN" w:bidi="ar-SA"/>
              </w:rPr>
              <w:t>实际生产能力</w:t>
            </w:r>
          </w:p>
        </w:tc>
        <w:tc>
          <w:tcPr>
            <w:tcW w:w="2436" w:type="dxa"/>
            <w:gridSpan w:val="2"/>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年维修养护汽车3000辆次</w:t>
            </w:r>
          </w:p>
        </w:tc>
        <w:tc>
          <w:tcPr>
            <w:tcW w:w="1724" w:type="dxa"/>
            <w:gridSpan w:val="2"/>
            <w:vAlign w:val="center"/>
          </w:tcPr>
          <w:p>
            <w:pPr>
              <w:keepNext w:val="0"/>
              <w:keepLines w:val="0"/>
              <w:suppressLineNumbers w:val="0"/>
              <w:spacing w:before="0" w:beforeAutospacing="0" w:after="0" w:afterAutospacing="0" w:line="260" w:lineRule="exact"/>
              <w:ind w:left="0" w:right="0"/>
              <w:jc w:val="left"/>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环评单位</w:t>
            </w:r>
          </w:p>
        </w:tc>
        <w:tc>
          <w:tcPr>
            <w:tcW w:w="2766" w:type="dxa"/>
            <w:gridSpan w:val="5"/>
            <w:vAlign w:val="center"/>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沧州硕辉环保科技有限公司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环评文件审批机关</w:t>
            </w:r>
          </w:p>
        </w:tc>
        <w:tc>
          <w:tcPr>
            <w:tcW w:w="4617" w:type="dxa"/>
            <w:gridSpan w:val="7"/>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沧州市生态环境局新华区分局</w:t>
            </w: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审批文号</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沧新环表[2020]11号</w:t>
            </w: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环评文件类型</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kern w:val="2"/>
                <w:sz w:val="15"/>
                <w:szCs w:val="15"/>
                <w:highlight w:val="none"/>
                <w:lang w:val="en-US" w:eastAsia="zh-CN" w:bidi="ar-SA"/>
              </w:rPr>
            </w:pPr>
            <w:r>
              <w:rPr>
                <w:rFonts w:hint="default" w:ascii="Times New Roman" w:hAnsi="Times New Roman" w:eastAsia="宋体" w:cs="Times New Roman"/>
                <w:color w:val="auto"/>
                <w:kern w:val="2"/>
                <w:sz w:val="15"/>
                <w:szCs w:val="15"/>
                <w:highlight w:val="none"/>
                <w:lang w:val="en-US" w:eastAsia="zh-CN" w:bidi="ar-SA"/>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开工日期</w:t>
            </w:r>
          </w:p>
        </w:tc>
        <w:tc>
          <w:tcPr>
            <w:tcW w:w="4617" w:type="dxa"/>
            <w:gridSpan w:val="7"/>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竣工日期</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排污许可证申领时间</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环保设施设计单位</w:t>
            </w:r>
          </w:p>
        </w:tc>
        <w:tc>
          <w:tcPr>
            <w:tcW w:w="4617" w:type="dxa"/>
            <w:gridSpan w:val="7"/>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环保设施施工单位</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本工程排污许可证编号</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验收单位</w:t>
            </w:r>
          </w:p>
        </w:tc>
        <w:tc>
          <w:tcPr>
            <w:tcW w:w="4617" w:type="dxa"/>
            <w:gridSpan w:val="7"/>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环保设施监测单位</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验收监测时工况</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投资总概算（万元）</w:t>
            </w:r>
          </w:p>
        </w:tc>
        <w:tc>
          <w:tcPr>
            <w:tcW w:w="4617" w:type="dxa"/>
            <w:gridSpan w:val="7"/>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120</w:t>
            </w: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环保投资总概算(万元)</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28</w:t>
            </w: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所占比例（%）</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23.3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实际总投资（万元）</w:t>
            </w:r>
          </w:p>
        </w:tc>
        <w:tc>
          <w:tcPr>
            <w:tcW w:w="4617" w:type="dxa"/>
            <w:gridSpan w:val="7"/>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120</w:t>
            </w: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实际环保投资 (万元)</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28</w:t>
            </w: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所占比例(%）</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23.3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废水治理（万元）</w:t>
            </w:r>
          </w:p>
        </w:tc>
        <w:tc>
          <w:tcPr>
            <w:tcW w:w="829"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60"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废气治理（万元）</w:t>
            </w:r>
          </w:p>
        </w:tc>
        <w:tc>
          <w:tcPr>
            <w:tcW w:w="904"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p>
        </w:tc>
        <w:tc>
          <w:tcPr>
            <w:tcW w:w="1031"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噪声治理(万元)</w:t>
            </w:r>
          </w:p>
        </w:tc>
        <w:tc>
          <w:tcPr>
            <w:tcW w:w="69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固体废物治理（万元）</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绿化及生态（万元 ）</w:t>
            </w:r>
          </w:p>
        </w:tc>
        <w:tc>
          <w:tcPr>
            <w:tcW w:w="950"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96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其他（万元）</w:t>
            </w:r>
          </w:p>
        </w:tc>
        <w:tc>
          <w:tcPr>
            <w:tcW w:w="850"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21"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67"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新增废水处理设施能力</w:t>
            </w:r>
          </w:p>
        </w:tc>
        <w:tc>
          <w:tcPr>
            <w:tcW w:w="4617" w:type="dxa"/>
            <w:gridSpan w:val="7"/>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2021" w:type="dxa"/>
            <w:gridSpan w:val="3"/>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新增废气处理设施能力</w:t>
            </w:r>
          </w:p>
        </w:tc>
        <w:tc>
          <w:tcPr>
            <w:tcW w:w="2436"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w:t>
            </w: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年平均工作时间</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288" w:type="dxa"/>
            <w:gridSpan w:val="4"/>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运营单位</w:t>
            </w:r>
          </w:p>
        </w:tc>
        <w:tc>
          <w:tcPr>
            <w:tcW w:w="3924" w:type="dxa"/>
            <w:gridSpan w:val="6"/>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lang w:eastAsia="zh-CN"/>
              </w:rPr>
            </w:pPr>
            <w:r>
              <w:rPr>
                <w:rFonts w:hint="eastAsia" w:ascii="Times New Roman" w:hAnsi="Times New Roman" w:eastAsia="宋体" w:cs="Times New Roman"/>
                <w:b w:val="0"/>
                <w:bCs/>
                <w:color w:val="auto"/>
                <w:sz w:val="15"/>
                <w:szCs w:val="15"/>
                <w:lang w:val="en-US" w:eastAsia="zh-CN"/>
              </w:rPr>
              <w:t>沧州市新华区路捷汽车维修服务中心</w:t>
            </w:r>
          </w:p>
        </w:tc>
        <w:tc>
          <w:tcPr>
            <w:tcW w:w="3267"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cs="Times New Roman"/>
                <w:color w:val="auto"/>
                <w:kern w:val="2"/>
                <w:sz w:val="15"/>
                <w:szCs w:val="15"/>
                <w:highlight w:val="none"/>
                <w:lang w:val="en-US" w:eastAsia="zh-CN" w:bidi="ar-SA"/>
              </w:rPr>
            </w:pPr>
            <w:r>
              <w:rPr>
                <w:rFonts w:hint="default" w:ascii="Times New Roman" w:hAnsi="Times New Roman" w:cs="Times New Roman"/>
                <w:color w:val="auto"/>
                <w:kern w:val="2"/>
                <w:sz w:val="15"/>
                <w:szCs w:val="15"/>
                <w:highlight w:val="none"/>
                <w:lang w:val="en-US" w:eastAsia="zh-CN" w:bidi="ar-SA"/>
              </w:rPr>
              <w:t>运营单位社会统一信用代码(或组织机构代码)</w:t>
            </w: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cs="Times New Roman"/>
                <w:color w:val="auto"/>
                <w:kern w:val="2"/>
                <w:sz w:val="15"/>
                <w:szCs w:val="15"/>
                <w:highlight w:val="none"/>
                <w:lang w:val="en-US" w:eastAsia="zh-CN" w:bidi="ar-SA"/>
              </w:rPr>
            </w:pPr>
            <w:r>
              <w:rPr>
                <w:rFonts w:hint="eastAsia" w:ascii="Times New Roman" w:hAnsi="Times New Roman" w:cs="Times New Roman"/>
                <w:b w:val="0"/>
                <w:bCs w:val="0"/>
                <w:color w:val="auto"/>
                <w:kern w:val="2"/>
                <w:sz w:val="15"/>
                <w:szCs w:val="15"/>
                <w:highlight w:val="none"/>
                <w:lang w:val="en-US" w:eastAsia="zh-CN" w:bidi="ar-SA"/>
              </w:rPr>
              <w:t>92130902MA0A4MYE97</w:t>
            </w:r>
          </w:p>
        </w:tc>
        <w:tc>
          <w:tcPr>
            <w:tcW w:w="1724"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验收时间</w:t>
            </w:r>
          </w:p>
        </w:tc>
        <w:tc>
          <w:tcPr>
            <w:tcW w:w="2766" w:type="dxa"/>
            <w:gridSpan w:val="5"/>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restart"/>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污染物排放达标与总量控制（工业建设项目详填）</w:t>
            </w:r>
          </w:p>
        </w:tc>
        <w:tc>
          <w:tcPr>
            <w:tcW w:w="1726"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污染物</w:t>
            </w:r>
          </w:p>
        </w:tc>
        <w:tc>
          <w:tcPr>
            <w:tcW w:w="968"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原有排放量(1)</w:t>
            </w:r>
          </w:p>
        </w:tc>
        <w:tc>
          <w:tcPr>
            <w:tcW w:w="102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本期工程实际排放浓度(2)</w:t>
            </w:r>
          </w:p>
        </w:tc>
        <w:tc>
          <w:tcPr>
            <w:tcW w:w="1021"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本期工程允许排放浓度(3)</w:t>
            </w:r>
          </w:p>
        </w:tc>
        <w:tc>
          <w:tcPr>
            <w:tcW w:w="914"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本期工程产生量(4)</w:t>
            </w:r>
          </w:p>
        </w:tc>
        <w:tc>
          <w:tcPr>
            <w:tcW w:w="1438"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本期工程自身削减量(5)</w:t>
            </w:r>
          </w:p>
        </w:tc>
        <w:tc>
          <w:tcPr>
            <w:tcW w:w="986"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本期工程实际排放量(6)</w:t>
            </w: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本期工程核定排放总量(7)</w:t>
            </w: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本期工程“以新带老”削减量(8)</w:t>
            </w: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全厂实际排放总量(9)</w:t>
            </w: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全厂核定排放总量(10)</w:t>
            </w: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区域平衡替代削减量(11)</w:t>
            </w: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r>
              <w:rPr>
                <w:rFonts w:hint="default" w:ascii="Times New Roman" w:hAnsi="Times New Roman" w:eastAsia="宋体" w:cs="Times New Roman"/>
                <w:color w:val="auto"/>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color w:val="auto"/>
                <w:sz w:val="15"/>
                <w:szCs w:val="15"/>
                <w:highlight w:val="none"/>
              </w:rPr>
            </w:pPr>
            <w:r>
              <w:rPr>
                <w:rFonts w:hint="default" w:ascii="Times New Roman" w:hAnsi="Times New Roman" w:eastAsia="宋体" w:cs="Times New Roman"/>
                <w:color w:val="auto"/>
                <w:sz w:val="15"/>
                <w:szCs w:val="15"/>
                <w:highlight w:val="none"/>
              </w:rPr>
              <w:t>排气量</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101" w:rightChars="-48" w:firstLine="0" w:firstLineChars="0"/>
              <w:jc w:val="center"/>
              <w:rPr>
                <w:rFonts w:hint="default" w:ascii="Times New Roman" w:hAnsi="Times New Roman" w:eastAsia="宋体" w:cs="Times New Roman"/>
                <w:color w:val="auto"/>
                <w:sz w:val="15"/>
                <w:szCs w:val="15"/>
                <w:highlight w:val="none"/>
              </w:rPr>
            </w:pPr>
          </w:p>
        </w:tc>
        <w:tc>
          <w:tcPr>
            <w:tcW w:w="1021" w:type="dxa"/>
            <w:vAlign w:val="center"/>
          </w:tcPr>
          <w:p>
            <w:pPr>
              <w:pStyle w:val="36"/>
              <w:keepNext w:val="0"/>
              <w:keepLines w:val="0"/>
              <w:suppressLineNumbers w:val="0"/>
              <w:spacing w:before="0" w:beforeAutospacing="0" w:after="0" w:afterAutospacing="0" w:line="240" w:lineRule="exact"/>
              <w:ind w:left="-107" w:leftChars="-51" w:right="-101" w:rightChars="-48" w:firstLine="0" w:firstLineChars="0"/>
              <w:jc w:val="center"/>
              <w:rPr>
                <w:rFonts w:hint="default" w:ascii="Times New Roman" w:hAnsi="Times New Roman" w:eastAsia="宋体" w:cs="Times New Roman"/>
                <w:color w:val="auto"/>
                <w:kern w:val="2"/>
                <w:sz w:val="15"/>
                <w:szCs w:val="15"/>
                <w:highlight w:val="none"/>
                <w:lang w:val="en-US" w:eastAsia="zh-CN" w:bidi="ar-SA"/>
              </w:rPr>
            </w:pPr>
          </w:p>
        </w:tc>
        <w:tc>
          <w:tcPr>
            <w:tcW w:w="1021" w:type="dxa"/>
            <w:gridSpan w:val="2"/>
            <w:vAlign w:val="center"/>
          </w:tcPr>
          <w:p>
            <w:pPr>
              <w:pStyle w:val="36"/>
              <w:keepNext w:val="0"/>
              <w:keepLines w:val="0"/>
              <w:suppressLineNumbers w:val="0"/>
              <w:spacing w:before="0" w:beforeAutospacing="0" w:after="0" w:afterAutospacing="0" w:line="240" w:lineRule="exact"/>
              <w:ind w:left="-107" w:leftChars="-51" w:right="-101" w:rightChars="-48" w:firstLine="0" w:firstLineChars="0"/>
              <w:jc w:val="center"/>
              <w:rPr>
                <w:rFonts w:hint="default" w:ascii="Times New Roman" w:hAnsi="Times New Roman" w:eastAsia="宋体" w:cs="Times New Roman"/>
                <w:color w:val="auto"/>
                <w:kern w:val="2"/>
                <w:sz w:val="15"/>
                <w:szCs w:val="15"/>
                <w:highlight w:val="none"/>
                <w:lang w:val="en-US" w:eastAsia="zh-CN" w:bidi="ar-SA"/>
              </w:rPr>
            </w:pPr>
          </w:p>
        </w:tc>
        <w:tc>
          <w:tcPr>
            <w:tcW w:w="914"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1438" w:type="dxa"/>
            <w:gridSpan w:val="2"/>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986"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1510</w:t>
            </w: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eastAsia" w:ascii="Times New Roman" w:hAnsi="Times New Roman" w:eastAsia="宋体" w:cs="Times New Roman"/>
                <w:color w:val="auto"/>
                <w:sz w:val="15"/>
                <w:szCs w:val="15"/>
                <w:highlight w:val="none"/>
                <w:lang w:eastAsia="zh-CN"/>
              </w:rPr>
            </w:pPr>
            <w:r>
              <w:rPr>
                <w:rFonts w:hint="eastAsia" w:ascii="Times New Roman" w:hAnsi="Times New Roman" w:cs="Times New Roman"/>
                <w:color w:val="auto"/>
                <w:sz w:val="15"/>
                <w:szCs w:val="15"/>
                <w:highlight w:val="none"/>
                <w:lang w:eastAsia="zh-CN"/>
              </w:rPr>
              <w:t>工业粉尘</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101" w:rightChars="-48" w:firstLine="0" w:firstLineChars="0"/>
              <w:jc w:val="center"/>
              <w:rPr>
                <w:rFonts w:hint="default" w:ascii="Times New Roman" w:hAnsi="Times New Roman" w:eastAsia="宋体" w:cs="Times New Roman"/>
                <w:color w:val="auto"/>
                <w:sz w:val="15"/>
                <w:szCs w:val="15"/>
                <w:highlight w:val="none"/>
              </w:rPr>
            </w:pPr>
          </w:p>
        </w:tc>
        <w:tc>
          <w:tcPr>
            <w:tcW w:w="1021"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1.5</w:t>
            </w:r>
          </w:p>
        </w:tc>
        <w:tc>
          <w:tcPr>
            <w:tcW w:w="1021"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18</w:t>
            </w:r>
          </w:p>
        </w:tc>
        <w:tc>
          <w:tcPr>
            <w:tcW w:w="914"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1438"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986"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0.020</w:t>
            </w: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eastAsia" w:ascii="Times New Roman" w:hAnsi="Times New Roman" w:eastAsia="宋体" w:cs="Times New Roman"/>
                <w:color w:val="auto"/>
                <w:sz w:val="15"/>
                <w:szCs w:val="15"/>
                <w:highlight w:val="none"/>
                <w:lang w:eastAsia="zh-CN"/>
              </w:rPr>
            </w:pPr>
            <w:r>
              <w:rPr>
                <w:rFonts w:hint="default" w:ascii="Times New Roman" w:hAnsi="Times New Roman" w:eastAsia="宋体" w:cs="Times New Roman"/>
                <w:color w:val="auto"/>
                <w:sz w:val="15"/>
                <w:szCs w:val="15"/>
                <w:highlight w:val="none"/>
                <w:lang w:eastAsia="zh-CN"/>
              </w:rPr>
              <w:t>非甲烷总烃</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67" w:rightChars="-32" w:firstLine="0" w:firstLineChars="0"/>
              <w:jc w:val="center"/>
              <w:rPr>
                <w:rFonts w:hint="default" w:ascii="Times New Roman" w:hAnsi="Times New Roman" w:eastAsia="宋体" w:cs="Times New Roman"/>
                <w:color w:val="auto"/>
                <w:sz w:val="15"/>
                <w:szCs w:val="15"/>
                <w:highlight w:val="none"/>
              </w:rPr>
            </w:pPr>
          </w:p>
        </w:tc>
        <w:tc>
          <w:tcPr>
            <w:tcW w:w="1021"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1.60</w:t>
            </w:r>
          </w:p>
        </w:tc>
        <w:tc>
          <w:tcPr>
            <w:tcW w:w="1021"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60</w:t>
            </w:r>
          </w:p>
        </w:tc>
        <w:tc>
          <w:tcPr>
            <w:tcW w:w="914"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1438"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986"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0.024</w:t>
            </w: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color w:val="auto"/>
                <w:sz w:val="15"/>
                <w:szCs w:val="15"/>
                <w:highlight w:val="none"/>
                <w:lang w:val="en-US" w:eastAsia="zh-CN"/>
              </w:rPr>
            </w:pPr>
            <w:r>
              <w:rPr>
                <w:rFonts w:hint="eastAsia" w:ascii="Times New Roman" w:hAnsi="Times New Roman" w:cs="Times New Roman"/>
                <w:color w:val="auto"/>
                <w:sz w:val="15"/>
                <w:szCs w:val="15"/>
                <w:highlight w:val="none"/>
                <w:lang w:val="en-US" w:eastAsia="zh-CN"/>
              </w:rPr>
              <w:t>甲苯+二甲苯</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67" w:rightChars="-32" w:firstLine="0" w:firstLineChars="0"/>
              <w:jc w:val="center"/>
              <w:rPr>
                <w:rFonts w:hint="default" w:ascii="Times New Roman" w:hAnsi="Times New Roman" w:eastAsia="宋体" w:cs="Times New Roman"/>
                <w:color w:val="auto"/>
                <w:sz w:val="15"/>
                <w:szCs w:val="15"/>
                <w:highlight w:val="none"/>
              </w:rPr>
            </w:pPr>
          </w:p>
        </w:tc>
        <w:tc>
          <w:tcPr>
            <w:tcW w:w="1021"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r>
              <w:rPr>
                <w:rFonts w:hint="eastAsia" w:ascii="Times New Roman" w:hAnsi="Times New Roman" w:cs="Times New Roman"/>
                <w:b w:val="0"/>
                <w:bCs w:val="0"/>
                <w:color w:val="auto"/>
                <w:sz w:val="15"/>
                <w:szCs w:val="15"/>
                <w:highlight w:val="none"/>
                <w:lang w:val="en-US" w:eastAsia="zh-CN"/>
              </w:rPr>
              <w:t>未检出</w:t>
            </w:r>
          </w:p>
        </w:tc>
        <w:tc>
          <w:tcPr>
            <w:tcW w:w="1021" w:type="dxa"/>
            <w:gridSpan w:val="2"/>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r>
              <w:rPr>
                <w:rFonts w:hint="eastAsia" w:ascii="Times New Roman" w:hAnsi="Times New Roman" w:cs="Times New Roman"/>
                <w:b w:val="0"/>
                <w:bCs w:val="0"/>
                <w:color w:val="auto"/>
                <w:sz w:val="15"/>
                <w:szCs w:val="15"/>
                <w:highlight w:val="none"/>
                <w:lang w:val="en-US" w:eastAsia="zh-CN"/>
              </w:rPr>
              <w:t>20</w:t>
            </w:r>
          </w:p>
        </w:tc>
        <w:tc>
          <w:tcPr>
            <w:tcW w:w="914"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1438" w:type="dxa"/>
            <w:gridSpan w:val="2"/>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986"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r>
              <w:rPr>
                <w:rFonts w:hint="eastAsia" w:ascii="Times New Roman" w:hAnsi="Times New Roman" w:cs="Times New Roman"/>
                <w:b w:val="0"/>
                <w:bCs w:val="0"/>
                <w:color w:val="auto"/>
                <w:sz w:val="15"/>
                <w:szCs w:val="15"/>
                <w:highlight w:val="none"/>
                <w:lang w:val="en-US" w:eastAsia="zh-CN"/>
              </w:rPr>
              <w:t>2.26</w:t>
            </w:r>
            <w:r>
              <w:rPr>
                <w:rFonts w:hint="default" w:ascii="Times New Roman" w:hAnsi="Times New Roman" w:eastAsia="宋体" w:cs="Times New Roman"/>
                <w:b w:val="0"/>
                <w:bCs w:val="0"/>
                <w:color w:val="auto"/>
                <w:sz w:val="15"/>
                <w:szCs w:val="15"/>
                <w:highlight w:val="none"/>
                <w:lang w:val="en-US" w:eastAsia="zh-CN"/>
              </w:rPr>
              <w:t>×</w:t>
            </w:r>
            <w:r>
              <w:rPr>
                <w:rFonts w:hint="eastAsia" w:ascii="Times New Roman" w:hAnsi="Times New Roman" w:eastAsia="宋体" w:cs="Times New Roman"/>
                <w:b w:val="0"/>
                <w:bCs w:val="0"/>
                <w:color w:val="auto"/>
                <w:sz w:val="15"/>
                <w:szCs w:val="15"/>
                <w:highlight w:val="none"/>
                <w:lang w:val="en-US" w:eastAsia="zh-CN"/>
              </w:rPr>
              <w:t>10</w:t>
            </w:r>
            <w:r>
              <w:rPr>
                <w:rFonts w:hint="eastAsia" w:ascii="Times New Roman" w:hAnsi="Times New Roman" w:eastAsia="宋体" w:cs="Times New Roman"/>
                <w:b w:val="0"/>
                <w:bCs w:val="0"/>
                <w:color w:val="auto"/>
                <w:sz w:val="15"/>
                <w:szCs w:val="15"/>
                <w:highlight w:val="none"/>
                <w:vertAlign w:val="superscript"/>
                <w:lang w:val="en-US" w:eastAsia="zh-CN"/>
              </w:rPr>
              <w:t>-</w:t>
            </w:r>
            <w:r>
              <w:rPr>
                <w:rFonts w:hint="eastAsia" w:ascii="Times New Roman" w:hAnsi="Times New Roman" w:cs="Times New Roman"/>
                <w:b w:val="0"/>
                <w:bCs w:val="0"/>
                <w:color w:val="auto"/>
                <w:sz w:val="15"/>
                <w:szCs w:val="15"/>
                <w:highlight w:val="none"/>
                <w:vertAlign w:val="superscript"/>
                <w:lang w:val="en-US" w:eastAsia="zh-CN"/>
              </w:rPr>
              <w:t>5</w:t>
            </w: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highlight w:val="none"/>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color w:val="auto"/>
                <w:kern w:val="2"/>
                <w:sz w:val="15"/>
                <w:szCs w:val="15"/>
                <w:highlight w:val="none"/>
                <w:lang w:val="en-US" w:eastAsia="zh-CN" w:bidi="ar-SA"/>
              </w:rPr>
            </w:pPr>
            <w:r>
              <w:rPr>
                <w:rFonts w:hint="eastAsia" w:ascii="Times New Roman" w:hAnsi="Times New Roman" w:cs="Times New Roman"/>
                <w:color w:val="auto"/>
                <w:kern w:val="2"/>
                <w:sz w:val="15"/>
                <w:szCs w:val="15"/>
                <w:highlight w:val="none"/>
                <w:lang w:val="en-US" w:eastAsia="zh-CN" w:bidi="ar-SA"/>
              </w:rPr>
              <w:t>排水量</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67" w:rightChars="-32" w:firstLine="0" w:firstLineChars="0"/>
              <w:jc w:val="center"/>
              <w:rPr>
                <w:rFonts w:hint="default" w:ascii="Times New Roman" w:hAnsi="Times New Roman" w:eastAsia="宋体" w:cs="Times New Roman"/>
                <w:color w:val="auto"/>
                <w:kern w:val="2"/>
                <w:sz w:val="15"/>
                <w:szCs w:val="15"/>
                <w:highlight w:val="none"/>
                <w:lang w:val="en-US" w:eastAsia="zh-CN" w:bidi="ar-SA"/>
              </w:rPr>
            </w:pPr>
          </w:p>
        </w:tc>
        <w:tc>
          <w:tcPr>
            <w:tcW w:w="1021"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1021"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914"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1438" w:type="dxa"/>
            <w:gridSpan w:val="2"/>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986" w:type="dxa"/>
            <w:vAlign w:val="center"/>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kern w:val="2"/>
                <w:sz w:val="15"/>
                <w:szCs w:val="15"/>
                <w:highlight w:val="none"/>
                <w:lang w:val="en-US" w:eastAsia="zh-CN" w:bidi="ar-SA"/>
              </w:rPr>
            </w:pP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cs="Times New Roman"/>
                <w:color w:val="auto"/>
                <w:sz w:val="15"/>
                <w:szCs w:val="15"/>
                <w:highlight w:val="none"/>
                <w:lang w:val="en-US" w:eastAsia="zh-CN"/>
              </w:rPr>
            </w:pPr>
            <w:r>
              <w:rPr>
                <w:rFonts w:hint="default" w:ascii="Times New Roman" w:hAnsi="Times New Roman" w:cs="Times New Roman"/>
                <w:color w:val="auto"/>
                <w:sz w:val="15"/>
                <w:szCs w:val="15"/>
                <w:highlight w:val="none"/>
                <w:lang w:val="en-US" w:eastAsia="zh-CN"/>
              </w:rPr>
              <w:t xml:space="preserve">化学需氧量 </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67" w:rightChars="-32" w:firstLine="0" w:firstLineChars="0"/>
              <w:jc w:val="center"/>
              <w:rPr>
                <w:rFonts w:hint="default" w:ascii="Times New Roman" w:hAnsi="Times New Roman" w:eastAsia="宋体" w:cs="Times New Roman"/>
                <w:color w:val="auto"/>
                <w:kern w:val="2"/>
                <w:sz w:val="15"/>
                <w:szCs w:val="15"/>
                <w:highlight w:val="none"/>
                <w:lang w:val="en-US" w:eastAsia="zh-CN" w:bidi="ar-SA"/>
              </w:rPr>
            </w:pPr>
          </w:p>
        </w:tc>
        <w:tc>
          <w:tcPr>
            <w:tcW w:w="1021"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1021" w:type="dxa"/>
            <w:gridSpan w:val="2"/>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914"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1438" w:type="dxa"/>
            <w:gridSpan w:val="2"/>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986"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726" w:type="dxa"/>
            <w:gridSpan w:val="2"/>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cs="Times New Roman"/>
                <w:color w:val="auto"/>
                <w:sz w:val="15"/>
                <w:szCs w:val="15"/>
                <w:highlight w:val="none"/>
                <w:lang w:val="en-US" w:eastAsia="zh-CN"/>
              </w:rPr>
            </w:pPr>
            <w:r>
              <w:rPr>
                <w:rFonts w:hint="default" w:ascii="Times New Roman" w:hAnsi="Times New Roman" w:cs="Times New Roman"/>
                <w:color w:val="auto"/>
                <w:sz w:val="15"/>
                <w:szCs w:val="15"/>
                <w:highlight w:val="none"/>
                <w:lang w:val="en-US" w:eastAsia="zh-CN"/>
              </w:rPr>
              <w:t>氨氮</w:t>
            </w:r>
          </w:p>
        </w:tc>
        <w:tc>
          <w:tcPr>
            <w:tcW w:w="968" w:type="dxa"/>
            <w:gridSpan w:val="2"/>
            <w:vAlign w:val="center"/>
          </w:tcPr>
          <w:p>
            <w:pPr>
              <w:pStyle w:val="36"/>
              <w:keepNext w:val="0"/>
              <w:keepLines w:val="0"/>
              <w:suppressLineNumbers w:val="0"/>
              <w:spacing w:before="0" w:beforeAutospacing="0" w:after="0" w:afterAutospacing="0" w:line="240" w:lineRule="exact"/>
              <w:ind w:left="-107" w:leftChars="-51" w:right="-67" w:rightChars="-32" w:firstLine="0" w:firstLineChars="0"/>
              <w:jc w:val="center"/>
              <w:rPr>
                <w:rFonts w:hint="default" w:ascii="Times New Roman" w:hAnsi="Times New Roman" w:eastAsia="宋体" w:cs="Times New Roman"/>
                <w:color w:val="auto"/>
                <w:sz w:val="18"/>
                <w:szCs w:val="18"/>
              </w:rPr>
            </w:pPr>
          </w:p>
        </w:tc>
        <w:tc>
          <w:tcPr>
            <w:tcW w:w="1021"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1021" w:type="dxa"/>
            <w:gridSpan w:val="2"/>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914" w:type="dxa"/>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1438" w:type="dxa"/>
            <w:gridSpan w:val="2"/>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986" w:type="dxa"/>
            <w:vAlign w:val="center"/>
          </w:tcPr>
          <w:p>
            <w:pPr>
              <w:keepNext w:val="0"/>
              <w:keepLines w:val="0"/>
              <w:suppressLineNumbers w:val="0"/>
              <w:spacing w:before="0" w:beforeAutospacing="0" w:after="0" w:afterAutospacing="0" w:line="280" w:lineRule="atLeast"/>
              <w:ind w:left="0" w:right="0"/>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vMerge w:val="restart"/>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r>
              <w:rPr>
                <w:rFonts w:hint="default" w:ascii="Times New Roman" w:hAnsi="Times New Roman" w:eastAsia="宋体" w:cs="Times New Roman"/>
                <w:color w:val="auto"/>
                <w:sz w:val="15"/>
                <w:szCs w:val="15"/>
              </w:rPr>
              <w:t>与项目有关的其他特征污染物</w:t>
            </w:r>
          </w:p>
        </w:tc>
        <w:tc>
          <w:tcPr>
            <w:tcW w:w="733" w:type="dxa"/>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color w:val="auto"/>
                <w:spacing w:val="-20"/>
                <w:sz w:val="15"/>
                <w:szCs w:val="15"/>
              </w:rPr>
            </w:pPr>
          </w:p>
        </w:tc>
        <w:tc>
          <w:tcPr>
            <w:tcW w:w="968" w:type="dxa"/>
            <w:gridSpan w:val="2"/>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sz w:val="15"/>
                <w:szCs w:val="15"/>
              </w:rPr>
            </w:pPr>
          </w:p>
        </w:tc>
        <w:tc>
          <w:tcPr>
            <w:tcW w:w="1021" w:type="dxa"/>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sz w:val="15"/>
                <w:szCs w:val="15"/>
              </w:rPr>
            </w:pPr>
          </w:p>
        </w:tc>
        <w:tc>
          <w:tcPr>
            <w:tcW w:w="1021"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14"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438"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86" w:type="dxa"/>
          </w:tcPr>
          <w:p>
            <w:pPr>
              <w:keepNext w:val="0"/>
              <w:keepLines w:val="0"/>
              <w:suppressLineNumbers w:val="0"/>
              <w:spacing w:before="0" w:beforeAutospacing="0" w:after="0" w:afterAutospacing="0" w:line="260" w:lineRule="exact"/>
              <w:ind w:left="0" w:right="0"/>
              <w:jc w:val="left"/>
              <w:rPr>
                <w:rFonts w:hint="default" w:ascii="Times New Roman" w:hAnsi="Times New Roman" w:eastAsia="宋体" w:cs="Times New Roman"/>
                <w:color w:val="auto"/>
                <w:sz w:val="15"/>
                <w:szCs w:val="15"/>
              </w:rPr>
            </w:pP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733" w:type="dxa"/>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color w:val="auto"/>
                <w:spacing w:val="-20"/>
                <w:sz w:val="15"/>
                <w:szCs w:val="15"/>
              </w:rPr>
            </w:pPr>
          </w:p>
        </w:tc>
        <w:tc>
          <w:tcPr>
            <w:tcW w:w="968" w:type="dxa"/>
            <w:gridSpan w:val="2"/>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sz w:val="15"/>
                <w:szCs w:val="15"/>
              </w:rPr>
            </w:pPr>
          </w:p>
        </w:tc>
        <w:tc>
          <w:tcPr>
            <w:tcW w:w="1021" w:type="dxa"/>
          </w:tcPr>
          <w:p>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color w:val="auto"/>
                <w:sz w:val="15"/>
                <w:szCs w:val="15"/>
              </w:rPr>
            </w:pPr>
          </w:p>
        </w:tc>
        <w:tc>
          <w:tcPr>
            <w:tcW w:w="1021"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14"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438"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86" w:type="dxa"/>
          </w:tcPr>
          <w:p>
            <w:pPr>
              <w:keepNext w:val="0"/>
              <w:keepLines w:val="0"/>
              <w:suppressLineNumbers w:val="0"/>
              <w:spacing w:before="0" w:beforeAutospacing="0" w:after="0" w:afterAutospacing="0" w:line="260" w:lineRule="exact"/>
              <w:ind w:left="0" w:right="0"/>
              <w:jc w:val="left"/>
              <w:rPr>
                <w:rFonts w:hint="default" w:ascii="Times New Roman" w:hAnsi="Times New Roman" w:eastAsia="宋体" w:cs="Times New Roman"/>
                <w:color w:val="auto"/>
                <w:sz w:val="15"/>
                <w:szCs w:val="15"/>
              </w:rPr>
            </w:pP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562" w:type="dxa"/>
            <w:gridSpan w:val="2"/>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vMerge w:val="continue"/>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73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68"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02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021"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14"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438"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86"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84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883"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201" w:type="dxa"/>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993"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89"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c>
          <w:tcPr>
            <w:tcW w:w="1107" w:type="dxa"/>
            <w:gridSpan w:val="2"/>
          </w:tcPr>
          <w:p>
            <w:pPr>
              <w:keepNext w:val="0"/>
              <w:keepLines w:val="0"/>
              <w:suppressLineNumbers w:val="0"/>
              <w:spacing w:before="0" w:beforeAutospacing="0" w:after="0" w:afterAutospacing="0" w:line="260" w:lineRule="exact"/>
              <w:ind w:left="0" w:right="0"/>
              <w:rPr>
                <w:rFonts w:hint="default" w:ascii="Times New Roman" w:hAnsi="Times New Roman" w:eastAsia="宋体" w:cs="Times New Roman"/>
                <w:color w:val="auto"/>
                <w:sz w:val="15"/>
                <w:szCs w:val="15"/>
              </w:rPr>
            </w:pPr>
          </w:p>
        </w:tc>
      </w:tr>
    </w:tbl>
    <w:p>
      <w:pPr>
        <w:ind w:firstLine="750" w:firstLineChars="500"/>
        <w:rPr>
          <w:rFonts w:hint="default" w:ascii="Times New Roman" w:hAnsi="Times New Roman" w:eastAsia="宋体" w:cs="Times New Roman"/>
        </w:rPr>
      </w:pPr>
      <w:r>
        <w:rPr>
          <w:rFonts w:hint="default" w:ascii="Times New Roman" w:hAnsi="Times New Roman" w:eastAsia="宋体" w:cs="Times New Roman"/>
          <w:sz w:val="15"/>
        </w:rPr>
        <w:t>注：1、排放增减量：(+)表示增加，(-)表示减少。2、(12)=(6)- (8)- (11)，(9)= (4)-(5)-(8)-(11)+(1)。3、计量单位：废水排放量——万吨/年；废气排放量——万标立方米/年；工业固体废物排放量——万吨/年；水污染物排放浓度——毫克/升</w:t>
      </w:r>
    </w:p>
    <w:p>
      <w:pPr>
        <w:ind w:firstLine="750" w:firstLineChars="500"/>
        <w:rPr>
          <w:rFonts w:hint="default" w:ascii="Times New Roman" w:hAnsi="Times New Roman" w:eastAsia="宋体" w:cs="Times New Roman"/>
        </w:rPr>
      </w:pPr>
      <w:r>
        <w:rPr>
          <w:rFonts w:hint="default" w:ascii="Times New Roman" w:hAnsi="Times New Roman" w:eastAsia="宋体" w:cs="Times New Roman"/>
          <w:sz w:val="15"/>
        </w:rPr>
        <w:t>万标立方米/年；工业固体废物排放量——万吨/年；水污染物排放浓度——毫克/升</w:t>
      </w:r>
    </w:p>
    <w:sectPr>
      <w:footerReference r:id="rId13"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
    <w:altName w:val="Times New Roman"/>
    <w:panose1 w:val="00000000000000000000"/>
    <w:charset w:val="00"/>
    <w:family w:val="auto"/>
    <w:pitch w:val="default"/>
    <w:sig w:usb0="00000000" w:usb1="00000000" w:usb2="00000000" w:usb3="00000000" w:csb0="00000001" w:csb1="00000000"/>
  </w:font>
  <w:font w:name="微软雅黑">
    <w:panose1 w:val="020B0503020204020204"/>
    <w:charset w:val="86"/>
    <w:family w:val="swiss"/>
    <w:pitch w:val="default"/>
    <w:sig w:usb0="80000287" w:usb1="280F3C52" w:usb2="00000016" w:usb3="00000000" w:csb0="0004001F" w:csb1="00000000"/>
  </w:font>
  <w:font w:name="monospace">
    <w:altName w:val="Segoe Print"/>
    <w:panose1 w:val="00000000000000000000"/>
    <w:charset w:val="00"/>
    <w:family w:val="auto"/>
    <w:pitch w:val="default"/>
    <w:sig w:usb0="00000000" w:usb1="00000000" w:usb2="00000000" w:usb3="00000000" w:csb0="00000000" w:csb1="00000000"/>
  </w:font>
  <w:font w:name="?? Light">
    <w:altName w:val="Segoe Print"/>
    <w:panose1 w:val="00000000000000000000"/>
    <w:charset w:val="00"/>
    <w:family w:val="auto"/>
    <w:pitch w:val="default"/>
    <w:sig w:usb0="00000000" w:usb1="00000000" w:usb2="00000000" w:usb3="00000000" w:csb0="00000001" w:csb1="00000000"/>
  </w:font>
  <w:font w:name="仿宋_GB2312">
    <w:altName w:val="仿宋"/>
    <w:panose1 w:val="02010609030101010101"/>
    <w:charset w:val="86"/>
    <w:family w:val="modern"/>
    <w:pitch w:val="default"/>
    <w:sig w:usb0="00000000" w:usb1="00000000" w:usb2="00000010" w:usb3="00000000" w:csb0="0004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jc w:val="center"/>
    </w:pPr>
    <w:r>
      <w:fldChar w:fldCharType="begin"/>
    </w:r>
    <w:r>
      <w:instrText xml:space="preserve">PAGE   \* MERGEFORMAT</w:instrText>
    </w:r>
    <w:r>
      <w:fldChar w:fldCharType="separate"/>
    </w:r>
    <w:r>
      <w:rPr>
        <w:lang w:val="zh-CN"/>
      </w:rPr>
      <w:t>27</w:t>
    </w:r>
    <w:r>
      <w:rPr>
        <w:lang w:val="zh-CN"/>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rPr>
        <w:rFonts w:hint="default" w:ascii="Times New Roman" w:hAnsi="Times New Roman" w:cs="Times New Roman"/>
      </w:rPr>
    </w:pPr>
    <w:r>
      <w:rPr>
        <w:rFonts w:hint="default" w:ascii="Times New Roman" w:hAnsi="Times New Roman" w:cs="Times New Roman" w:eastAsiaTheme="minorEastAsia"/>
        <w:b w:val="0"/>
        <w:bCs w:val="0"/>
        <w:sz w:val="18"/>
        <w:szCs w:val="18"/>
        <w:lang w:val="en-US" w:eastAsia="zh-CN"/>
      </w:rPr>
      <w:t xml:space="preserve"> </w:t>
    </w:r>
    <w:r>
      <w:rPr>
        <w:rFonts w:hint="eastAsia" w:ascii="Times New Roman" w:hAnsi="Times New Roman" w:cs="Times New Roman" w:eastAsiaTheme="minorEastAsia"/>
        <w:b w:val="0"/>
        <w:bCs w:val="0"/>
        <w:sz w:val="18"/>
        <w:szCs w:val="18"/>
      </w:rPr>
      <w:t>沧州市新华区路捷汽车维修服务中心汽车维修项目</w:t>
    </w:r>
    <w:r>
      <w:rPr>
        <w:rFonts w:hint="default" w:ascii="Times New Roman" w:hAnsi="Times New Roman" w:cs="Times New Roman" w:eastAsia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single" w:color="auto" w:sz="4" w:space="1"/>
      </w:pBdr>
      <w:jc w:val="center"/>
      <w:rPr>
        <w:rFonts w:hint="eastAsia"/>
      </w:rPr>
    </w:pPr>
    <w:r>
      <w:rPr>
        <w:rFonts w:hint="eastAsia" w:ascii="Times New Roman" w:hAnsi="Times New Roman" w:cs="Times New Roman" w:eastAsiaTheme="minorEastAsia"/>
        <w:b w:val="0"/>
        <w:bCs w:val="0"/>
        <w:sz w:val="18"/>
        <w:szCs w:val="18"/>
      </w:rPr>
      <w:t>沧州市新华区路捷汽车维修服务中心汽车维修项目</w:t>
    </w:r>
    <w:r>
      <w:rPr>
        <w:rFonts w:hint="default" w:ascii="Times New Roman" w:hAnsi="Times New Roman" w:cs="Times New Roman" w:eastAsiaTheme="minorEastAsia"/>
        <w:b w:val="0"/>
        <w:bCs w:val="0"/>
        <w:sz w:val="18"/>
        <w:szCs w:val="18"/>
      </w:rPr>
      <w:t>竣工环境保护验收报告</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43B2AEB"/>
    <w:multiLevelType w:val="singleLevel"/>
    <w:tmpl w:val="F43B2AEB"/>
    <w:lvl w:ilvl="0" w:tentative="0">
      <w:start w:val="1"/>
      <w:numFmt w:val="decimal"/>
      <w:lvlText w:val="(%1)"/>
      <w:lvlJc w:val="left"/>
      <w:pPr>
        <w:tabs>
          <w:tab w:val="left" w:pos="312"/>
        </w:tabs>
      </w:pPr>
    </w:lvl>
  </w:abstractNum>
  <w:abstractNum w:abstractNumId="1">
    <w:nsid w:val="5A5B08E9"/>
    <w:multiLevelType w:val="singleLevel"/>
    <w:tmpl w:val="5A5B08E9"/>
    <w:lvl w:ilvl="0" w:tentative="0">
      <w:start w:val="3"/>
      <w:numFmt w:val="decimal"/>
      <w:suff w:val="nothing"/>
      <w:lvlText w:val="（%1）"/>
      <w:lvlJc w:val="left"/>
      <w:rPr>
        <w:rFonts w:cs="Times New Roman"/>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B0F86"/>
    <w:rsid w:val="000B23BC"/>
    <w:rsid w:val="004B4180"/>
    <w:rsid w:val="005D039F"/>
    <w:rsid w:val="008923D8"/>
    <w:rsid w:val="009D55F7"/>
    <w:rsid w:val="00A37DC5"/>
    <w:rsid w:val="00AC527A"/>
    <w:rsid w:val="00C6591A"/>
    <w:rsid w:val="00CF3C71"/>
    <w:rsid w:val="00DC482B"/>
    <w:rsid w:val="00EC76E7"/>
    <w:rsid w:val="010C3693"/>
    <w:rsid w:val="011907BE"/>
    <w:rsid w:val="012E1AEE"/>
    <w:rsid w:val="015604DD"/>
    <w:rsid w:val="01715A84"/>
    <w:rsid w:val="018822EA"/>
    <w:rsid w:val="01DA3E51"/>
    <w:rsid w:val="01DA4711"/>
    <w:rsid w:val="01DA50C3"/>
    <w:rsid w:val="01E479C3"/>
    <w:rsid w:val="01F50308"/>
    <w:rsid w:val="020461F1"/>
    <w:rsid w:val="023B4A38"/>
    <w:rsid w:val="024B34D9"/>
    <w:rsid w:val="02533B28"/>
    <w:rsid w:val="02825C8F"/>
    <w:rsid w:val="0284269E"/>
    <w:rsid w:val="028915E5"/>
    <w:rsid w:val="02CC4772"/>
    <w:rsid w:val="02CE4148"/>
    <w:rsid w:val="02DF5B08"/>
    <w:rsid w:val="02EF30BE"/>
    <w:rsid w:val="02F406E9"/>
    <w:rsid w:val="030714EA"/>
    <w:rsid w:val="030E3BA9"/>
    <w:rsid w:val="032E68A0"/>
    <w:rsid w:val="03634792"/>
    <w:rsid w:val="03875C5A"/>
    <w:rsid w:val="03BA546F"/>
    <w:rsid w:val="03CE3571"/>
    <w:rsid w:val="040D7863"/>
    <w:rsid w:val="042E0728"/>
    <w:rsid w:val="04561B4F"/>
    <w:rsid w:val="04634C98"/>
    <w:rsid w:val="04A85E5B"/>
    <w:rsid w:val="04A90C9A"/>
    <w:rsid w:val="04DD131A"/>
    <w:rsid w:val="04EA2C3D"/>
    <w:rsid w:val="04F624CA"/>
    <w:rsid w:val="052C71D2"/>
    <w:rsid w:val="05490183"/>
    <w:rsid w:val="05597D2D"/>
    <w:rsid w:val="056C1EC0"/>
    <w:rsid w:val="05896D06"/>
    <w:rsid w:val="05B07D7F"/>
    <w:rsid w:val="05B32EFD"/>
    <w:rsid w:val="05CE633A"/>
    <w:rsid w:val="05DA3ABB"/>
    <w:rsid w:val="05FF0024"/>
    <w:rsid w:val="060840A4"/>
    <w:rsid w:val="06451843"/>
    <w:rsid w:val="064C7FCF"/>
    <w:rsid w:val="06504254"/>
    <w:rsid w:val="067A5314"/>
    <w:rsid w:val="06877778"/>
    <w:rsid w:val="06A239D6"/>
    <w:rsid w:val="06E77E40"/>
    <w:rsid w:val="06FA5738"/>
    <w:rsid w:val="070725EA"/>
    <w:rsid w:val="0708050B"/>
    <w:rsid w:val="072514C5"/>
    <w:rsid w:val="07252146"/>
    <w:rsid w:val="073F5513"/>
    <w:rsid w:val="074E3D07"/>
    <w:rsid w:val="077455A0"/>
    <w:rsid w:val="0775427C"/>
    <w:rsid w:val="07970EE9"/>
    <w:rsid w:val="079830FC"/>
    <w:rsid w:val="079E1FA1"/>
    <w:rsid w:val="07A36D9B"/>
    <w:rsid w:val="07B1061A"/>
    <w:rsid w:val="07C1255B"/>
    <w:rsid w:val="07D07BBE"/>
    <w:rsid w:val="07D55997"/>
    <w:rsid w:val="07E4679E"/>
    <w:rsid w:val="08016180"/>
    <w:rsid w:val="089457A7"/>
    <w:rsid w:val="089A46DB"/>
    <w:rsid w:val="08B13C2C"/>
    <w:rsid w:val="08B9273D"/>
    <w:rsid w:val="08CA73A2"/>
    <w:rsid w:val="08D109E9"/>
    <w:rsid w:val="08F40631"/>
    <w:rsid w:val="09150844"/>
    <w:rsid w:val="09240536"/>
    <w:rsid w:val="09266BD4"/>
    <w:rsid w:val="09326261"/>
    <w:rsid w:val="09486F4C"/>
    <w:rsid w:val="097E0293"/>
    <w:rsid w:val="09867262"/>
    <w:rsid w:val="09903817"/>
    <w:rsid w:val="09983CFE"/>
    <w:rsid w:val="09996CD8"/>
    <w:rsid w:val="09AB785F"/>
    <w:rsid w:val="09C22064"/>
    <w:rsid w:val="09CD287C"/>
    <w:rsid w:val="09CE73F2"/>
    <w:rsid w:val="09D21B78"/>
    <w:rsid w:val="09E65C3E"/>
    <w:rsid w:val="09F03240"/>
    <w:rsid w:val="0A080A7C"/>
    <w:rsid w:val="0A697738"/>
    <w:rsid w:val="0AD26D10"/>
    <w:rsid w:val="0AE0375C"/>
    <w:rsid w:val="0AEC7692"/>
    <w:rsid w:val="0AFD7167"/>
    <w:rsid w:val="0B0F3C71"/>
    <w:rsid w:val="0B2B2F8A"/>
    <w:rsid w:val="0B384F88"/>
    <w:rsid w:val="0B4F2DDA"/>
    <w:rsid w:val="0B600342"/>
    <w:rsid w:val="0B6363A9"/>
    <w:rsid w:val="0B67749E"/>
    <w:rsid w:val="0B982FB4"/>
    <w:rsid w:val="0BAC6F41"/>
    <w:rsid w:val="0BDE117C"/>
    <w:rsid w:val="0BE71BA5"/>
    <w:rsid w:val="0C113FB9"/>
    <w:rsid w:val="0C512F06"/>
    <w:rsid w:val="0C540D8F"/>
    <w:rsid w:val="0C5D75EA"/>
    <w:rsid w:val="0CB308FB"/>
    <w:rsid w:val="0CBB357A"/>
    <w:rsid w:val="0CEC613E"/>
    <w:rsid w:val="0D1466DF"/>
    <w:rsid w:val="0D21630A"/>
    <w:rsid w:val="0D2808E8"/>
    <w:rsid w:val="0D5C571D"/>
    <w:rsid w:val="0D5F754C"/>
    <w:rsid w:val="0D612200"/>
    <w:rsid w:val="0D6C01FC"/>
    <w:rsid w:val="0E0E2BE5"/>
    <w:rsid w:val="0E10570A"/>
    <w:rsid w:val="0E16521F"/>
    <w:rsid w:val="0E1C51C4"/>
    <w:rsid w:val="0E1F26DE"/>
    <w:rsid w:val="0E1F5626"/>
    <w:rsid w:val="0E300071"/>
    <w:rsid w:val="0E30425F"/>
    <w:rsid w:val="0E4803ED"/>
    <w:rsid w:val="0E57208A"/>
    <w:rsid w:val="0E7F499F"/>
    <w:rsid w:val="0EA12B9C"/>
    <w:rsid w:val="0EBB52F0"/>
    <w:rsid w:val="0EDC148D"/>
    <w:rsid w:val="0EF92A32"/>
    <w:rsid w:val="0F053649"/>
    <w:rsid w:val="0F143ECE"/>
    <w:rsid w:val="0F272918"/>
    <w:rsid w:val="0F2B2A5C"/>
    <w:rsid w:val="0F31414F"/>
    <w:rsid w:val="0F463041"/>
    <w:rsid w:val="0F661609"/>
    <w:rsid w:val="0F6E7758"/>
    <w:rsid w:val="0F734D44"/>
    <w:rsid w:val="0F7E3710"/>
    <w:rsid w:val="0F831450"/>
    <w:rsid w:val="0F893FBB"/>
    <w:rsid w:val="0F8A2668"/>
    <w:rsid w:val="0FA24E3C"/>
    <w:rsid w:val="0FE900BB"/>
    <w:rsid w:val="1013738E"/>
    <w:rsid w:val="101437B4"/>
    <w:rsid w:val="10820A96"/>
    <w:rsid w:val="109553DF"/>
    <w:rsid w:val="109B7713"/>
    <w:rsid w:val="10BD3A48"/>
    <w:rsid w:val="10D85498"/>
    <w:rsid w:val="110426FB"/>
    <w:rsid w:val="11063712"/>
    <w:rsid w:val="111426B3"/>
    <w:rsid w:val="112D270E"/>
    <w:rsid w:val="113E55E4"/>
    <w:rsid w:val="11506FB2"/>
    <w:rsid w:val="11592110"/>
    <w:rsid w:val="11680C0D"/>
    <w:rsid w:val="116975A2"/>
    <w:rsid w:val="11C81C9B"/>
    <w:rsid w:val="11CC4ACA"/>
    <w:rsid w:val="11EB1055"/>
    <w:rsid w:val="12062B9A"/>
    <w:rsid w:val="120F7D1A"/>
    <w:rsid w:val="12121331"/>
    <w:rsid w:val="123D414C"/>
    <w:rsid w:val="12452BBE"/>
    <w:rsid w:val="12610534"/>
    <w:rsid w:val="12630E7F"/>
    <w:rsid w:val="128F0E18"/>
    <w:rsid w:val="12C75D0F"/>
    <w:rsid w:val="130577F1"/>
    <w:rsid w:val="132259C3"/>
    <w:rsid w:val="133E51C3"/>
    <w:rsid w:val="134664DB"/>
    <w:rsid w:val="135021C2"/>
    <w:rsid w:val="13593B3D"/>
    <w:rsid w:val="135E7B60"/>
    <w:rsid w:val="136C69E8"/>
    <w:rsid w:val="13723DD2"/>
    <w:rsid w:val="13891CBC"/>
    <w:rsid w:val="139909CD"/>
    <w:rsid w:val="139F445C"/>
    <w:rsid w:val="13B10308"/>
    <w:rsid w:val="13C37E45"/>
    <w:rsid w:val="13D73323"/>
    <w:rsid w:val="14142A06"/>
    <w:rsid w:val="143A4C1A"/>
    <w:rsid w:val="144D3595"/>
    <w:rsid w:val="145B592F"/>
    <w:rsid w:val="1484198C"/>
    <w:rsid w:val="148F45B6"/>
    <w:rsid w:val="14A45CCB"/>
    <w:rsid w:val="14CE2B18"/>
    <w:rsid w:val="14DA2287"/>
    <w:rsid w:val="14EF0367"/>
    <w:rsid w:val="14F91099"/>
    <w:rsid w:val="150C21FF"/>
    <w:rsid w:val="151C34E8"/>
    <w:rsid w:val="151E1F7F"/>
    <w:rsid w:val="15366402"/>
    <w:rsid w:val="15811AAA"/>
    <w:rsid w:val="15E357D0"/>
    <w:rsid w:val="162C23AD"/>
    <w:rsid w:val="1649623B"/>
    <w:rsid w:val="16644A06"/>
    <w:rsid w:val="166B30D4"/>
    <w:rsid w:val="16733675"/>
    <w:rsid w:val="16B550BB"/>
    <w:rsid w:val="16D07C2A"/>
    <w:rsid w:val="16FD1A31"/>
    <w:rsid w:val="17042506"/>
    <w:rsid w:val="171B5911"/>
    <w:rsid w:val="17460996"/>
    <w:rsid w:val="175E0050"/>
    <w:rsid w:val="175F3F40"/>
    <w:rsid w:val="17784D1A"/>
    <w:rsid w:val="177D217D"/>
    <w:rsid w:val="178105E0"/>
    <w:rsid w:val="17A739C6"/>
    <w:rsid w:val="17B152E2"/>
    <w:rsid w:val="17C07BD6"/>
    <w:rsid w:val="17C25D9D"/>
    <w:rsid w:val="17E8438C"/>
    <w:rsid w:val="17E8510F"/>
    <w:rsid w:val="17F13FCF"/>
    <w:rsid w:val="17F93B9E"/>
    <w:rsid w:val="18277983"/>
    <w:rsid w:val="182804E9"/>
    <w:rsid w:val="18291570"/>
    <w:rsid w:val="18514262"/>
    <w:rsid w:val="185B7811"/>
    <w:rsid w:val="1860256E"/>
    <w:rsid w:val="187A4716"/>
    <w:rsid w:val="189E2803"/>
    <w:rsid w:val="18FF36EA"/>
    <w:rsid w:val="190C4832"/>
    <w:rsid w:val="191205C7"/>
    <w:rsid w:val="193A461B"/>
    <w:rsid w:val="197A03A3"/>
    <w:rsid w:val="197A55F9"/>
    <w:rsid w:val="19961364"/>
    <w:rsid w:val="19974F0E"/>
    <w:rsid w:val="19BF1760"/>
    <w:rsid w:val="19DA089D"/>
    <w:rsid w:val="19E32A63"/>
    <w:rsid w:val="19F340F0"/>
    <w:rsid w:val="1A04739D"/>
    <w:rsid w:val="1A0E7DE3"/>
    <w:rsid w:val="1A203086"/>
    <w:rsid w:val="1A274B95"/>
    <w:rsid w:val="1A431DC6"/>
    <w:rsid w:val="1A4E2FC6"/>
    <w:rsid w:val="1A593FED"/>
    <w:rsid w:val="1A744A7D"/>
    <w:rsid w:val="1A7E60A3"/>
    <w:rsid w:val="1ABB1C1A"/>
    <w:rsid w:val="1ABC641F"/>
    <w:rsid w:val="1ACB1CF0"/>
    <w:rsid w:val="1AEF59C9"/>
    <w:rsid w:val="1AF676CD"/>
    <w:rsid w:val="1B0C4CF2"/>
    <w:rsid w:val="1B137FF7"/>
    <w:rsid w:val="1B484ACD"/>
    <w:rsid w:val="1B485177"/>
    <w:rsid w:val="1B487ACC"/>
    <w:rsid w:val="1B492B2D"/>
    <w:rsid w:val="1B6F6ED1"/>
    <w:rsid w:val="1B786A26"/>
    <w:rsid w:val="1B9220FD"/>
    <w:rsid w:val="1B9B12FE"/>
    <w:rsid w:val="1BB914C5"/>
    <w:rsid w:val="1BBA1D7F"/>
    <w:rsid w:val="1BCD3D5F"/>
    <w:rsid w:val="1BE25C76"/>
    <w:rsid w:val="1BF40A68"/>
    <w:rsid w:val="1C1F562D"/>
    <w:rsid w:val="1C202E24"/>
    <w:rsid w:val="1C2101A6"/>
    <w:rsid w:val="1C5C0CBF"/>
    <w:rsid w:val="1C615741"/>
    <w:rsid w:val="1C6B70E4"/>
    <w:rsid w:val="1C6E0679"/>
    <w:rsid w:val="1C762192"/>
    <w:rsid w:val="1C7D2487"/>
    <w:rsid w:val="1CB07BDC"/>
    <w:rsid w:val="1CB930EE"/>
    <w:rsid w:val="1CC664AE"/>
    <w:rsid w:val="1CD52C33"/>
    <w:rsid w:val="1CEF132C"/>
    <w:rsid w:val="1CFD4F4A"/>
    <w:rsid w:val="1D146AB0"/>
    <w:rsid w:val="1D1D600C"/>
    <w:rsid w:val="1D457829"/>
    <w:rsid w:val="1D4A168D"/>
    <w:rsid w:val="1D577F1C"/>
    <w:rsid w:val="1D8241EF"/>
    <w:rsid w:val="1D89459B"/>
    <w:rsid w:val="1D8C251A"/>
    <w:rsid w:val="1DA603C5"/>
    <w:rsid w:val="1DC3211B"/>
    <w:rsid w:val="1DD87FC0"/>
    <w:rsid w:val="1DE3201F"/>
    <w:rsid w:val="1DE96C88"/>
    <w:rsid w:val="1DE97DB3"/>
    <w:rsid w:val="1DFE63C8"/>
    <w:rsid w:val="1E024E3D"/>
    <w:rsid w:val="1E0C3D0C"/>
    <w:rsid w:val="1E0E13C8"/>
    <w:rsid w:val="1E124BEE"/>
    <w:rsid w:val="1E2B05E0"/>
    <w:rsid w:val="1E4F345D"/>
    <w:rsid w:val="1E570721"/>
    <w:rsid w:val="1E595D19"/>
    <w:rsid w:val="1E742259"/>
    <w:rsid w:val="1E7A48DD"/>
    <w:rsid w:val="1E833BAB"/>
    <w:rsid w:val="1E8F4E4E"/>
    <w:rsid w:val="1EA77E77"/>
    <w:rsid w:val="1EC66117"/>
    <w:rsid w:val="1EFE2753"/>
    <w:rsid w:val="1F11740E"/>
    <w:rsid w:val="1F2529AA"/>
    <w:rsid w:val="1F2C6CD0"/>
    <w:rsid w:val="1F2F5AED"/>
    <w:rsid w:val="1F300B41"/>
    <w:rsid w:val="1F581ECD"/>
    <w:rsid w:val="1F6B052F"/>
    <w:rsid w:val="1F7B28FF"/>
    <w:rsid w:val="1F8C6352"/>
    <w:rsid w:val="1FAB2E46"/>
    <w:rsid w:val="1FC17FAD"/>
    <w:rsid w:val="1FDC79D3"/>
    <w:rsid w:val="1FEC57EC"/>
    <w:rsid w:val="1FFE6C51"/>
    <w:rsid w:val="200529A9"/>
    <w:rsid w:val="20126566"/>
    <w:rsid w:val="20323505"/>
    <w:rsid w:val="204722FE"/>
    <w:rsid w:val="204A1C7A"/>
    <w:rsid w:val="207C1DCE"/>
    <w:rsid w:val="20854B17"/>
    <w:rsid w:val="20BB27A1"/>
    <w:rsid w:val="20C825A4"/>
    <w:rsid w:val="20EC07E3"/>
    <w:rsid w:val="20FC3BD3"/>
    <w:rsid w:val="20FD49C4"/>
    <w:rsid w:val="21186935"/>
    <w:rsid w:val="212B0BB6"/>
    <w:rsid w:val="212E5212"/>
    <w:rsid w:val="21464E9C"/>
    <w:rsid w:val="21506C42"/>
    <w:rsid w:val="215F4E1D"/>
    <w:rsid w:val="21A86FAA"/>
    <w:rsid w:val="21AB53E3"/>
    <w:rsid w:val="21CC0B7F"/>
    <w:rsid w:val="21DA62E5"/>
    <w:rsid w:val="21EC14C9"/>
    <w:rsid w:val="21EC37D4"/>
    <w:rsid w:val="22130E59"/>
    <w:rsid w:val="22240294"/>
    <w:rsid w:val="2235390B"/>
    <w:rsid w:val="227F3C6E"/>
    <w:rsid w:val="2289088B"/>
    <w:rsid w:val="22B02203"/>
    <w:rsid w:val="22C47BED"/>
    <w:rsid w:val="22C71053"/>
    <w:rsid w:val="22C72464"/>
    <w:rsid w:val="22DA76A9"/>
    <w:rsid w:val="22E826B5"/>
    <w:rsid w:val="22FA5FC0"/>
    <w:rsid w:val="2302158B"/>
    <w:rsid w:val="234F7DAE"/>
    <w:rsid w:val="235612EA"/>
    <w:rsid w:val="23605E8E"/>
    <w:rsid w:val="236966A4"/>
    <w:rsid w:val="23883EEC"/>
    <w:rsid w:val="238B6EE5"/>
    <w:rsid w:val="23F43627"/>
    <w:rsid w:val="23F5771D"/>
    <w:rsid w:val="240E3114"/>
    <w:rsid w:val="24315CD5"/>
    <w:rsid w:val="24345501"/>
    <w:rsid w:val="244978C2"/>
    <w:rsid w:val="245B62C3"/>
    <w:rsid w:val="245F2FDE"/>
    <w:rsid w:val="2465217A"/>
    <w:rsid w:val="246552CA"/>
    <w:rsid w:val="247158A0"/>
    <w:rsid w:val="247725FB"/>
    <w:rsid w:val="247B0A67"/>
    <w:rsid w:val="24B0718C"/>
    <w:rsid w:val="24C563CD"/>
    <w:rsid w:val="24E46B06"/>
    <w:rsid w:val="24F85EBD"/>
    <w:rsid w:val="2517675F"/>
    <w:rsid w:val="2536069B"/>
    <w:rsid w:val="2542404B"/>
    <w:rsid w:val="25657B2E"/>
    <w:rsid w:val="25796C04"/>
    <w:rsid w:val="258D1B1A"/>
    <w:rsid w:val="25993355"/>
    <w:rsid w:val="25B51BDF"/>
    <w:rsid w:val="25B76CCA"/>
    <w:rsid w:val="25C247AB"/>
    <w:rsid w:val="25CA4CC2"/>
    <w:rsid w:val="25E746BF"/>
    <w:rsid w:val="263C39CB"/>
    <w:rsid w:val="266168FA"/>
    <w:rsid w:val="266F51DF"/>
    <w:rsid w:val="26B73EFF"/>
    <w:rsid w:val="26F452FB"/>
    <w:rsid w:val="26F47D3A"/>
    <w:rsid w:val="26F548D2"/>
    <w:rsid w:val="26F76773"/>
    <w:rsid w:val="26FD557D"/>
    <w:rsid w:val="271E0807"/>
    <w:rsid w:val="273322A9"/>
    <w:rsid w:val="273A2258"/>
    <w:rsid w:val="274D43FF"/>
    <w:rsid w:val="27585D08"/>
    <w:rsid w:val="277B0A71"/>
    <w:rsid w:val="2781114D"/>
    <w:rsid w:val="27B36659"/>
    <w:rsid w:val="27FC5337"/>
    <w:rsid w:val="28335AC8"/>
    <w:rsid w:val="2840338E"/>
    <w:rsid w:val="286D3F7B"/>
    <w:rsid w:val="28821F1B"/>
    <w:rsid w:val="28962566"/>
    <w:rsid w:val="28B65688"/>
    <w:rsid w:val="28BC7A5B"/>
    <w:rsid w:val="291A3F79"/>
    <w:rsid w:val="292C11F5"/>
    <w:rsid w:val="293B74BC"/>
    <w:rsid w:val="293E18A8"/>
    <w:rsid w:val="29CC3AA8"/>
    <w:rsid w:val="29EF18AB"/>
    <w:rsid w:val="2A187AE7"/>
    <w:rsid w:val="2A5E40FE"/>
    <w:rsid w:val="2A6E738E"/>
    <w:rsid w:val="2A720E25"/>
    <w:rsid w:val="2A781C2E"/>
    <w:rsid w:val="2A7F01EB"/>
    <w:rsid w:val="2A854100"/>
    <w:rsid w:val="2A862854"/>
    <w:rsid w:val="2AAA2B84"/>
    <w:rsid w:val="2ABD50A7"/>
    <w:rsid w:val="2AE92E60"/>
    <w:rsid w:val="2AED56F1"/>
    <w:rsid w:val="2B1736FB"/>
    <w:rsid w:val="2B216E33"/>
    <w:rsid w:val="2B2860CC"/>
    <w:rsid w:val="2B361609"/>
    <w:rsid w:val="2B455B15"/>
    <w:rsid w:val="2B596229"/>
    <w:rsid w:val="2B8034DD"/>
    <w:rsid w:val="2B833E8D"/>
    <w:rsid w:val="2B890E8E"/>
    <w:rsid w:val="2B94616C"/>
    <w:rsid w:val="2B9A5A21"/>
    <w:rsid w:val="2BBB2B65"/>
    <w:rsid w:val="2BE74132"/>
    <w:rsid w:val="2BFD0EEC"/>
    <w:rsid w:val="2C1C6839"/>
    <w:rsid w:val="2C2B0EE5"/>
    <w:rsid w:val="2C385B2A"/>
    <w:rsid w:val="2C590CA9"/>
    <w:rsid w:val="2C625813"/>
    <w:rsid w:val="2C662CE2"/>
    <w:rsid w:val="2C725C70"/>
    <w:rsid w:val="2C727D21"/>
    <w:rsid w:val="2C735B46"/>
    <w:rsid w:val="2C914E3F"/>
    <w:rsid w:val="2CCC183A"/>
    <w:rsid w:val="2CDA6F00"/>
    <w:rsid w:val="2CE73E1C"/>
    <w:rsid w:val="2D061E41"/>
    <w:rsid w:val="2D3B784A"/>
    <w:rsid w:val="2D560CBD"/>
    <w:rsid w:val="2D5F6CF8"/>
    <w:rsid w:val="2D6267F4"/>
    <w:rsid w:val="2D824DAE"/>
    <w:rsid w:val="2D990036"/>
    <w:rsid w:val="2DB041A7"/>
    <w:rsid w:val="2DBE204E"/>
    <w:rsid w:val="2DEB55D6"/>
    <w:rsid w:val="2DF71278"/>
    <w:rsid w:val="2E02078D"/>
    <w:rsid w:val="2E054C96"/>
    <w:rsid w:val="2E082A95"/>
    <w:rsid w:val="2E1D3D72"/>
    <w:rsid w:val="2E5A6142"/>
    <w:rsid w:val="2E5C62F0"/>
    <w:rsid w:val="2E63178A"/>
    <w:rsid w:val="2E764126"/>
    <w:rsid w:val="2E9C75B2"/>
    <w:rsid w:val="2E9F77A7"/>
    <w:rsid w:val="2EA5477E"/>
    <w:rsid w:val="2EB248A2"/>
    <w:rsid w:val="2EBA5611"/>
    <w:rsid w:val="2EC7619D"/>
    <w:rsid w:val="2ED17E7E"/>
    <w:rsid w:val="2EF23990"/>
    <w:rsid w:val="2EF5473D"/>
    <w:rsid w:val="2F1A0953"/>
    <w:rsid w:val="2F2473F1"/>
    <w:rsid w:val="2F3A716E"/>
    <w:rsid w:val="2F415851"/>
    <w:rsid w:val="2F464AAB"/>
    <w:rsid w:val="2F5430F8"/>
    <w:rsid w:val="2F6866FB"/>
    <w:rsid w:val="2F9B34E4"/>
    <w:rsid w:val="2FB144F2"/>
    <w:rsid w:val="2FB6643D"/>
    <w:rsid w:val="2FBD2C24"/>
    <w:rsid w:val="2FD14B32"/>
    <w:rsid w:val="2FFC6767"/>
    <w:rsid w:val="301425B0"/>
    <w:rsid w:val="302008F7"/>
    <w:rsid w:val="30616CA5"/>
    <w:rsid w:val="306D6646"/>
    <w:rsid w:val="307C1123"/>
    <w:rsid w:val="308A2049"/>
    <w:rsid w:val="30AB7CA3"/>
    <w:rsid w:val="30B02097"/>
    <w:rsid w:val="30BC3D69"/>
    <w:rsid w:val="30E205B0"/>
    <w:rsid w:val="30F75538"/>
    <w:rsid w:val="31210606"/>
    <w:rsid w:val="315667A7"/>
    <w:rsid w:val="31703AA0"/>
    <w:rsid w:val="318A0535"/>
    <w:rsid w:val="31937B5E"/>
    <w:rsid w:val="319501A8"/>
    <w:rsid w:val="31AC5D86"/>
    <w:rsid w:val="31B96DC1"/>
    <w:rsid w:val="31CD4137"/>
    <w:rsid w:val="31DF562B"/>
    <w:rsid w:val="31E15B69"/>
    <w:rsid w:val="31FD7A4E"/>
    <w:rsid w:val="32206E69"/>
    <w:rsid w:val="32211CAC"/>
    <w:rsid w:val="3225051F"/>
    <w:rsid w:val="322B6C9D"/>
    <w:rsid w:val="323A760B"/>
    <w:rsid w:val="324D6C5B"/>
    <w:rsid w:val="3250507C"/>
    <w:rsid w:val="32571E0E"/>
    <w:rsid w:val="32793228"/>
    <w:rsid w:val="32877C63"/>
    <w:rsid w:val="329E577D"/>
    <w:rsid w:val="32DB49C8"/>
    <w:rsid w:val="32F42076"/>
    <w:rsid w:val="33002791"/>
    <w:rsid w:val="33032D3C"/>
    <w:rsid w:val="33070B8B"/>
    <w:rsid w:val="3312410C"/>
    <w:rsid w:val="331962E9"/>
    <w:rsid w:val="333831BB"/>
    <w:rsid w:val="335C2175"/>
    <w:rsid w:val="33A46444"/>
    <w:rsid w:val="33A5466C"/>
    <w:rsid w:val="33B23404"/>
    <w:rsid w:val="33C52B08"/>
    <w:rsid w:val="33EC1A9E"/>
    <w:rsid w:val="33ED5F4C"/>
    <w:rsid w:val="341542EC"/>
    <w:rsid w:val="341D7565"/>
    <w:rsid w:val="3428749F"/>
    <w:rsid w:val="344F2D38"/>
    <w:rsid w:val="34563522"/>
    <w:rsid w:val="34742768"/>
    <w:rsid w:val="34925344"/>
    <w:rsid w:val="34BF6467"/>
    <w:rsid w:val="34CF61F3"/>
    <w:rsid w:val="354829BA"/>
    <w:rsid w:val="356537ED"/>
    <w:rsid w:val="356D04AE"/>
    <w:rsid w:val="357A661E"/>
    <w:rsid w:val="358E456B"/>
    <w:rsid w:val="35923813"/>
    <w:rsid w:val="35A534DF"/>
    <w:rsid w:val="35D71A7C"/>
    <w:rsid w:val="35FC6DA6"/>
    <w:rsid w:val="35FD7964"/>
    <w:rsid w:val="36180202"/>
    <w:rsid w:val="361F70DE"/>
    <w:rsid w:val="36204F0A"/>
    <w:rsid w:val="368931E9"/>
    <w:rsid w:val="36913211"/>
    <w:rsid w:val="369A1C06"/>
    <w:rsid w:val="36D87D83"/>
    <w:rsid w:val="36E205DC"/>
    <w:rsid w:val="37220F40"/>
    <w:rsid w:val="37283225"/>
    <w:rsid w:val="37362CF7"/>
    <w:rsid w:val="37572272"/>
    <w:rsid w:val="37582F36"/>
    <w:rsid w:val="376D572F"/>
    <w:rsid w:val="378048B0"/>
    <w:rsid w:val="378325B1"/>
    <w:rsid w:val="37840AF5"/>
    <w:rsid w:val="37A44B25"/>
    <w:rsid w:val="37D653B5"/>
    <w:rsid w:val="37DE58E9"/>
    <w:rsid w:val="3844025A"/>
    <w:rsid w:val="384F31B9"/>
    <w:rsid w:val="386F542A"/>
    <w:rsid w:val="3873354D"/>
    <w:rsid w:val="3873701B"/>
    <w:rsid w:val="38741812"/>
    <w:rsid w:val="387859EC"/>
    <w:rsid w:val="38942A40"/>
    <w:rsid w:val="38A157AF"/>
    <w:rsid w:val="38A33A77"/>
    <w:rsid w:val="38BF20A9"/>
    <w:rsid w:val="394D78F5"/>
    <w:rsid w:val="39ED30CC"/>
    <w:rsid w:val="39EF7ACA"/>
    <w:rsid w:val="39F138C5"/>
    <w:rsid w:val="39F50708"/>
    <w:rsid w:val="39FA6E70"/>
    <w:rsid w:val="3A063711"/>
    <w:rsid w:val="3A1577A2"/>
    <w:rsid w:val="3A1B0CE1"/>
    <w:rsid w:val="3A4D4E88"/>
    <w:rsid w:val="3A601CA4"/>
    <w:rsid w:val="3A63198D"/>
    <w:rsid w:val="3A961086"/>
    <w:rsid w:val="3AB06D83"/>
    <w:rsid w:val="3AD77FE4"/>
    <w:rsid w:val="3ADD6DCF"/>
    <w:rsid w:val="3AE326A4"/>
    <w:rsid w:val="3AEC76E6"/>
    <w:rsid w:val="3B122EC1"/>
    <w:rsid w:val="3B274ADA"/>
    <w:rsid w:val="3B2F6ACA"/>
    <w:rsid w:val="3B562602"/>
    <w:rsid w:val="3B63694E"/>
    <w:rsid w:val="3B736A46"/>
    <w:rsid w:val="3B8A1DF8"/>
    <w:rsid w:val="3B9A6737"/>
    <w:rsid w:val="3BAF78B6"/>
    <w:rsid w:val="3BB31EF2"/>
    <w:rsid w:val="3BC31FAE"/>
    <w:rsid w:val="3BC54569"/>
    <w:rsid w:val="3BCC530F"/>
    <w:rsid w:val="3BD02128"/>
    <w:rsid w:val="3BFF2D28"/>
    <w:rsid w:val="3C034EEA"/>
    <w:rsid w:val="3C0A793C"/>
    <w:rsid w:val="3C0D1706"/>
    <w:rsid w:val="3C2425EA"/>
    <w:rsid w:val="3C391547"/>
    <w:rsid w:val="3C397868"/>
    <w:rsid w:val="3C7E652C"/>
    <w:rsid w:val="3C8E4E00"/>
    <w:rsid w:val="3CBA071E"/>
    <w:rsid w:val="3CE41F30"/>
    <w:rsid w:val="3D063515"/>
    <w:rsid w:val="3D2C783B"/>
    <w:rsid w:val="3D2D09D3"/>
    <w:rsid w:val="3D697A46"/>
    <w:rsid w:val="3D6D267C"/>
    <w:rsid w:val="3DC85DFF"/>
    <w:rsid w:val="3DDB20E2"/>
    <w:rsid w:val="3E0B53AA"/>
    <w:rsid w:val="3E0D7FF2"/>
    <w:rsid w:val="3E3C6452"/>
    <w:rsid w:val="3E64474E"/>
    <w:rsid w:val="3E6E5530"/>
    <w:rsid w:val="3E827254"/>
    <w:rsid w:val="3E8F6AAA"/>
    <w:rsid w:val="3E976F11"/>
    <w:rsid w:val="3EA43557"/>
    <w:rsid w:val="3EE56510"/>
    <w:rsid w:val="3EF65F81"/>
    <w:rsid w:val="3F1861E9"/>
    <w:rsid w:val="3F350580"/>
    <w:rsid w:val="3FF8227E"/>
    <w:rsid w:val="4013224B"/>
    <w:rsid w:val="40265985"/>
    <w:rsid w:val="410A37BE"/>
    <w:rsid w:val="410A474A"/>
    <w:rsid w:val="410D7403"/>
    <w:rsid w:val="4111649F"/>
    <w:rsid w:val="411405D0"/>
    <w:rsid w:val="41172CAA"/>
    <w:rsid w:val="41243607"/>
    <w:rsid w:val="412D62E1"/>
    <w:rsid w:val="41381318"/>
    <w:rsid w:val="41396817"/>
    <w:rsid w:val="414342EA"/>
    <w:rsid w:val="4146629E"/>
    <w:rsid w:val="414E2544"/>
    <w:rsid w:val="4152671F"/>
    <w:rsid w:val="41715973"/>
    <w:rsid w:val="4175089C"/>
    <w:rsid w:val="41794D42"/>
    <w:rsid w:val="418E40A4"/>
    <w:rsid w:val="4190217D"/>
    <w:rsid w:val="41962988"/>
    <w:rsid w:val="41AA3B82"/>
    <w:rsid w:val="41B117C8"/>
    <w:rsid w:val="41D30D9B"/>
    <w:rsid w:val="41E9646F"/>
    <w:rsid w:val="41FE3FF2"/>
    <w:rsid w:val="41FF7C45"/>
    <w:rsid w:val="421A203C"/>
    <w:rsid w:val="421B5153"/>
    <w:rsid w:val="422C5F7B"/>
    <w:rsid w:val="422F20E1"/>
    <w:rsid w:val="42437EA5"/>
    <w:rsid w:val="425610D8"/>
    <w:rsid w:val="427850CA"/>
    <w:rsid w:val="42804B17"/>
    <w:rsid w:val="429E3270"/>
    <w:rsid w:val="42C63666"/>
    <w:rsid w:val="42E15C77"/>
    <w:rsid w:val="42F62625"/>
    <w:rsid w:val="431C7555"/>
    <w:rsid w:val="432C04C6"/>
    <w:rsid w:val="432D23FB"/>
    <w:rsid w:val="4347397F"/>
    <w:rsid w:val="435B1214"/>
    <w:rsid w:val="435D5038"/>
    <w:rsid w:val="43636C1D"/>
    <w:rsid w:val="43651D23"/>
    <w:rsid w:val="436A337C"/>
    <w:rsid w:val="4374269D"/>
    <w:rsid w:val="43AC301B"/>
    <w:rsid w:val="43DF10BE"/>
    <w:rsid w:val="43E43265"/>
    <w:rsid w:val="43E8288A"/>
    <w:rsid w:val="440A01DF"/>
    <w:rsid w:val="44121A1A"/>
    <w:rsid w:val="443C44EB"/>
    <w:rsid w:val="445505AE"/>
    <w:rsid w:val="44570262"/>
    <w:rsid w:val="445F75CD"/>
    <w:rsid w:val="44CC546B"/>
    <w:rsid w:val="44D477C4"/>
    <w:rsid w:val="44D97C36"/>
    <w:rsid w:val="44F005FD"/>
    <w:rsid w:val="4520702F"/>
    <w:rsid w:val="453127D7"/>
    <w:rsid w:val="453205BA"/>
    <w:rsid w:val="455475AE"/>
    <w:rsid w:val="4559003C"/>
    <w:rsid w:val="45613FB9"/>
    <w:rsid w:val="45746C9D"/>
    <w:rsid w:val="458A0BC7"/>
    <w:rsid w:val="45A43AEE"/>
    <w:rsid w:val="45C31132"/>
    <w:rsid w:val="45CC5BD8"/>
    <w:rsid w:val="45CF11EB"/>
    <w:rsid w:val="45D31AC8"/>
    <w:rsid w:val="45EE63E9"/>
    <w:rsid w:val="45F349F1"/>
    <w:rsid w:val="45FB4843"/>
    <w:rsid w:val="460E0314"/>
    <w:rsid w:val="461D63E2"/>
    <w:rsid w:val="46234A16"/>
    <w:rsid w:val="463037DD"/>
    <w:rsid w:val="46643CD7"/>
    <w:rsid w:val="46647FC1"/>
    <w:rsid w:val="466D590C"/>
    <w:rsid w:val="4694247E"/>
    <w:rsid w:val="469557D9"/>
    <w:rsid w:val="46BC3DAE"/>
    <w:rsid w:val="46DE180B"/>
    <w:rsid w:val="47020DDC"/>
    <w:rsid w:val="470D75A0"/>
    <w:rsid w:val="471A04E9"/>
    <w:rsid w:val="472E7287"/>
    <w:rsid w:val="47733AA1"/>
    <w:rsid w:val="479F7204"/>
    <w:rsid w:val="47B8206F"/>
    <w:rsid w:val="47BF0FB8"/>
    <w:rsid w:val="48220611"/>
    <w:rsid w:val="48381C86"/>
    <w:rsid w:val="483A6294"/>
    <w:rsid w:val="484C7F83"/>
    <w:rsid w:val="4853594F"/>
    <w:rsid w:val="485A65CB"/>
    <w:rsid w:val="486076DA"/>
    <w:rsid w:val="48627265"/>
    <w:rsid w:val="486B1633"/>
    <w:rsid w:val="487706E4"/>
    <w:rsid w:val="48786075"/>
    <w:rsid w:val="48895F19"/>
    <w:rsid w:val="48AB0BA6"/>
    <w:rsid w:val="48BD6B6B"/>
    <w:rsid w:val="49191580"/>
    <w:rsid w:val="49223582"/>
    <w:rsid w:val="492D0973"/>
    <w:rsid w:val="493D52FB"/>
    <w:rsid w:val="49500135"/>
    <w:rsid w:val="495D1791"/>
    <w:rsid w:val="498D5732"/>
    <w:rsid w:val="49BF3C3C"/>
    <w:rsid w:val="49C27D4F"/>
    <w:rsid w:val="49EE7E56"/>
    <w:rsid w:val="4A1C3FD7"/>
    <w:rsid w:val="4A283569"/>
    <w:rsid w:val="4A317992"/>
    <w:rsid w:val="4A3C5A4F"/>
    <w:rsid w:val="4A756693"/>
    <w:rsid w:val="4A8F0E80"/>
    <w:rsid w:val="4A94287F"/>
    <w:rsid w:val="4AAA6ED1"/>
    <w:rsid w:val="4ADC529E"/>
    <w:rsid w:val="4AF54DF8"/>
    <w:rsid w:val="4AF605DF"/>
    <w:rsid w:val="4B0D2D46"/>
    <w:rsid w:val="4B221993"/>
    <w:rsid w:val="4B292B3F"/>
    <w:rsid w:val="4B334827"/>
    <w:rsid w:val="4B364EA2"/>
    <w:rsid w:val="4B5B5244"/>
    <w:rsid w:val="4B6C1835"/>
    <w:rsid w:val="4B8D4C22"/>
    <w:rsid w:val="4B914027"/>
    <w:rsid w:val="4B9E5D3C"/>
    <w:rsid w:val="4BDC6760"/>
    <w:rsid w:val="4C1E03F9"/>
    <w:rsid w:val="4C2C1626"/>
    <w:rsid w:val="4C5643C5"/>
    <w:rsid w:val="4C5F230C"/>
    <w:rsid w:val="4C72320F"/>
    <w:rsid w:val="4C7239A4"/>
    <w:rsid w:val="4C75612C"/>
    <w:rsid w:val="4C8515D6"/>
    <w:rsid w:val="4C902FFF"/>
    <w:rsid w:val="4CA8053A"/>
    <w:rsid w:val="4CB77E17"/>
    <w:rsid w:val="4CC4734D"/>
    <w:rsid w:val="4CE6122E"/>
    <w:rsid w:val="4D286125"/>
    <w:rsid w:val="4D372E75"/>
    <w:rsid w:val="4D6166AE"/>
    <w:rsid w:val="4D7E66EF"/>
    <w:rsid w:val="4D830CEF"/>
    <w:rsid w:val="4D8A66EE"/>
    <w:rsid w:val="4D982950"/>
    <w:rsid w:val="4DC537AE"/>
    <w:rsid w:val="4DE5194B"/>
    <w:rsid w:val="4E0C7B22"/>
    <w:rsid w:val="4E0E2A9E"/>
    <w:rsid w:val="4E2010D3"/>
    <w:rsid w:val="4E45577A"/>
    <w:rsid w:val="4E46145D"/>
    <w:rsid w:val="4E712E32"/>
    <w:rsid w:val="4E753226"/>
    <w:rsid w:val="4E76173F"/>
    <w:rsid w:val="4EAC0405"/>
    <w:rsid w:val="4EBB4491"/>
    <w:rsid w:val="4EE42634"/>
    <w:rsid w:val="4EE713EA"/>
    <w:rsid w:val="4F260F89"/>
    <w:rsid w:val="4F2A01BE"/>
    <w:rsid w:val="4F36474E"/>
    <w:rsid w:val="4F3C6A41"/>
    <w:rsid w:val="4F401AE1"/>
    <w:rsid w:val="4F533D8D"/>
    <w:rsid w:val="4F742C7A"/>
    <w:rsid w:val="4F745008"/>
    <w:rsid w:val="4F8558CE"/>
    <w:rsid w:val="4F9D2CC9"/>
    <w:rsid w:val="4FE6264D"/>
    <w:rsid w:val="505358D5"/>
    <w:rsid w:val="505B3004"/>
    <w:rsid w:val="506A059F"/>
    <w:rsid w:val="508C36D4"/>
    <w:rsid w:val="50D925FF"/>
    <w:rsid w:val="50E456FC"/>
    <w:rsid w:val="50E551F9"/>
    <w:rsid w:val="50F32C94"/>
    <w:rsid w:val="51226F11"/>
    <w:rsid w:val="512E7FBA"/>
    <w:rsid w:val="513A6A4A"/>
    <w:rsid w:val="514F39D2"/>
    <w:rsid w:val="515278E3"/>
    <w:rsid w:val="51595D63"/>
    <w:rsid w:val="51806F8B"/>
    <w:rsid w:val="519E2F6F"/>
    <w:rsid w:val="51C75E30"/>
    <w:rsid w:val="51DD708F"/>
    <w:rsid w:val="51F4151E"/>
    <w:rsid w:val="51F72686"/>
    <w:rsid w:val="520D6C64"/>
    <w:rsid w:val="521630C6"/>
    <w:rsid w:val="526B6E47"/>
    <w:rsid w:val="52B406EF"/>
    <w:rsid w:val="52CB221A"/>
    <w:rsid w:val="52D110B0"/>
    <w:rsid w:val="52E174A5"/>
    <w:rsid w:val="53065443"/>
    <w:rsid w:val="531145FD"/>
    <w:rsid w:val="5318052F"/>
    <w:rsid w:val="53216608"/>
    <w:rsid w:val="533B4BCA"/>
    <w:rsid w:val="533F26C9"/>
    <w:rsid w:val="539B0680"/>
    <w:rsid w:val="53DC6DF9"/>
    <w:rsid w:val="53F96BCC"/>
    <w:rsid w:val="54026716"/>
    <w:rsid w:val="54243A65"/>
    <w:rsid w:val="542C5973"/>
    <w:rsid w:val="54482B82"/>
    <w:rsid w:val="54626FB4"/>
    <w:rsid w:val="54713309"/>
    <w:rsid w:val="547859C6"/>
    <w:rsid w:val="548C37A3"/>
    <w:rsid w:val="549B0D25"/>
    <w:rsid w:val="54A4617D"/>
    <w:rsid w:val="54EE2E14"/>
    <w:rsid w:val="54F03C79"/>
    <w:rsid w:val="54F91023"/>
    <w:rsid w:val="551C6A7C"/>
    <w:rsid w:val="553C4D34"/>
    <w:rsid w:val="553C7426"/>
    <w:rsid w:val="556A1C97"/>
    <w:rsid w:val="55730AC8"/>
    <w:rsid w:val="55782972"/>
    <w:rsid w:val="557A527E"/>
    <w:rsid w:val="55841D43"/>
    <w:rsid w:val="558B12DB"/>
    <w:rsid w:val="559C29F5"/>
    <w:rsid w:val="55A4348A"/>
    <w:rsid w:val="55B96B11"/>
    <w:rsid w:val="55BF1F35"/>
    <w:rsid w:val="55DE5293"/>
    <w:rsid w:val="560863AC"/>
    <w:rsid w:val="563412CF"/>
    <w:rsid w:val="5645647A"/>
    <w:rsid w:val="567927AF"/>
    <w:rsid w:val="567A57F8"/>
    <w:rsid w:val="568C2C2E"/>
    <w:rsid w:val="56922A1B"/>
    <w:rsid w:val="56960283"/>
    <w:rsid w:val="56C92D20"/>
    <w:rsid w:val="5714287A"/>
    <w:rsid w:val="571F005F"/>
    <w:rsid w:val="572617BF"/>
    <w:rsid w:val="572F24BD"/>
    <w:rsid w:val="57356424"/>
    <w:rsid w:val="574729F7"/>
    <w:rsid w:val="57582143"/>
    <w:rsid w:val="57723443"/>
    <w:rsid w:val="57A83ED7"/>
    <w:rsid w:val="57F47D8C"/>
    <w:rsid w:val="580769C0"/>
    <w:rsid w:val="58226E84"/>
    <w:rsid w:val="582407E5"/>
    <w:rsid w:val="58436366"/>
    <w:rsid w:val="58561442"/>
    <w:rsid w:val="58A35B06"/>
    <w:rsid w:val="58D813C8"/>
    <w:rsid w:val="590F1B2C"/>
    <w:rsid w:val="591D7AB3"/>
    <w:rsid w:val="592236A4"/>
    <w:rsid w:val="596D031B"/>
    <w:rsid w:val="598A4139"/>
    <w:rsid w:val="598D0BA6"/>
    <w:rsid w:val="59B26A61"/>
    <w:rsid w:val="59B461EA"/>
    <w:rsid w:val="59D67B58"/>
    <w:rsid w:val="59DB0393"/>
    <w:rsid w:val="59DF6D72"/>
    <w:rsid w:val="59EB0033"/>
    <w:rsid w:val="5A041A1E"/>
    <w:rsid w:val="5A465B6B"/>
    <w:rsid w:val="5A543545"/>
    <w:rsid w:val="5A777A47"/>
    <w:rsid w:val="5AB001B4"/>
    <w:rsid w:val="5AC54C80"/>
    <w:rsid w:val="5AE9407D"/>
    <w:rsid w:val="5B037C83"/>
    <w:rsid w:val="5B1731D1"/>
    <w:rsid w:val="5B393705"/>
    <w:rsid w:val="5B3E365E"/>
    <w:rsid w:val="5B402FFF"/>
    <w:rsid w:val="5B916452"/>
    <w:rsid w:val="5B982079"/>
    <w:rsid w:val="5BA01B74"/>
    <w:rsid w:val="5BA71CC5"/>
    <w:rsid w:val="5BA85FF5"/>
    <w:rsid w:val="5BAB5294"/>
    <w:rsid w:val="5BDA1492"/>
    <w:rsid w:val="5BFD3B48"/>
    <w:rsid w:val="5C0A17DC"/>
    <w:rsid w:val="5C1B44D9"/>
    <w:rsid w:val="5C291E51"/>
    <w:rsid w:val="5C29584C"/>
    <w:rsid w:val="5C2F0412"/>
    <w:rsid w:val="5C3C63E8"/>
    <w:rsid w:val="5C4C5D9F"/>
    <w:rsid w:val="5C572B53"/>
    <w:rsid w:val="5C68375A"/>
    <w:rsid w:val="5C893E24"/>
    <w:rsid w:val="5C906996"/>
    <w:rsid w:val="5C927BFE"/>
    <w:rsid w:val="5C9F099B"/>
    <w:rsid w:val="5CA556A0"/>
    <w:rsid w:val="5CEC0025"/>
    <w:rsid w:val="5CF255CA"/>
    <w:rsid w:val="5CFA363A"/>
    <w:rsid w:val="5D137ADF"/>
    <w:rsid w:val="5D2E46E0"/>
    <w:rsid w:val="5D302A9E"/>
    <w:rsid w:val="5D50725A"/>
    <w:rsid w:val="5D6578A6"/>
    <w:rsid w:val="5D6C0F6C"/>
    <w:rsid w:val="5D78267D"/>
    <w:rsid w:val="5D8070AF"/>
    <w:rsid w:val="5D8C723B"/>
    <w:rsid w:val="5DAC3300"/>
    <w:rsid w:val="5DF16C64"/>
    <w:rsid w:val="5DF66929"/>
    <w:rsid w:val="5DFF2C8C"/>
    <w:rsid w:val="5E057B81"/>
    <w:rsid w:val="5E22019D"/>
    <w:rsid w:val="5E2351E3"/>
    <w:rsid w:val="5E2F4DDC"/>
    <w:rsid w:val="5E4A53BA"/>
    <w:rsid w:val="5E5B0A3A"/>
    <w:rsid w:val="5E8D562E"/>
    <w:rsid w:val="5E9F3165"/>
    <w:rsid w:val="5EA76251"/>
    <w:rsid w:val="5ECB3AAA"/>
    <w:rsid w:val="5ECE691F"/>
    <w:rsid w:val="5EFA4D6F"/>
    <w:rsid w:val="5F0C1043"/>
    <w:rsid w:val="5F1811BC"/>
    <w:rsid w:val="5F2B2850"/>
    <w:rsid w:val="5F5019B7"/>
    <w:rsid w:val="5F6D3F07"/>
    <w:rsid w:val="5F86560F"/>
    <w:rsid w:val="5F905ACF"/>
    <w:rsid w:val="5FB96CF8"/>
    <w:rsid w:val="5FC943AC"/>
    <w:rsid w:val="5FDF43AB"/>
    <w:rsid w:val="5FF44C87"/>
    <w:rsid w:val="60302133"/>
    <w:rsid w:val="603F1DCC"/>
    <w:rsid w:val="60524FFB"/>
    <w:rsid w:val="605651EA"/>
    <w:rsid w:val="605964C7"/>
    <w:rsid w:val="606757D6"/>
    <w:rsid w:val="60707360"/>
    <w:rsid w:val="60892861"/>
    <w:rsid w:val="60917798"/>
    <w:rsid w:val="60B55046"/>
    <w:rsid w:val="60D513C5"/>
    <w:rsid w:val="60FE1C2F"/>
    <w:rsid w:val="6101294F"/>
    <w:rsid w:val="61044010"/>
    <w:rsid w:val="611E25B1"/>
    <w:rsid w:val="613045E5"/>
    <w:rsid w:val="613C0CF0"/>
    <w:rsid w:val="6151257D"/>
    <w:rsid w:val="615D1FC8"/>
    <w:rsid w:val="61810664"/>
    <w:rsid w:val="618D4501"/>
    <w:rsid w:val="61903CAC"/>
    <w:rsid w:val="61931208"/>
    <w:rsid w:val="619F3903"/>
    <w:rsid w:val="61A7067C"/>
    <w:rsid w:val="61D2626F"/>
    <w:rsid w:val="61E955C9"/>
    <w:rsid w:val="61F9756F"/>
    <w:rsid w:val="620E0FD6"/>
    <w:rsid w:val="62146F1A"/>
    <w:rsid w:val="624311E9"/>
    <w:rsid w:val="624A05B8"/>
    <w:rsid w:val="624A2500"/>
    <w:rsid w:val="62574003"/>
    <w:rsid w:val="627C0C31"/>
    <w:rsid w:val="62887C48"/>
    <w:rsid w:val="62913A4A"/>
    <w:rsid w:val="62B00F17"/>
    <w:rsid w:val="62E24030"/>
    <w:rsid w:val="62F81E84"/>
    <w:rsid w:val="62FB4F89"/>
    <w:rsid w:val="62FC0147"/>
    <w:rsid w:val="62FD4871"/>
    <w:rsid w:val="62FD74A4"/>
    <w:rsid w:val="631C64FC"/>
    <w:rsid w:val="63502676"/>
    <w:rsid w:val="63563485"/>
    <w:rsid w:val="6377273E"/>
    <w:rsid w:val="63A53480"/>
    <w:rsid w:val="63B40F2D"/>
    <w:rsid w:val="63BF55B4"/>
    <w:rsid w:val="63C76E9C"/>
    <w:rsid w:val="63CD6614"/>
    <w:rsid w:val="63D01432"/>
    <w:rsid w:val="63E50381"/>
    <w:rsid w:val="63FF6DBA"/>
    <w:rsid w:val="641C58C1"/>
    <w:rsid w:val="64290E6F"/>
    <w:rsid w:val="643E59DC"/>
    <w:rsid w:val="647443D4"/>
    <w:rsid w:val="647A0C84"/>
    <w:rsid w:val="647F10B5"/>
    <w:rsid w:val="648E3223"/>
    <w:rsid w:val="6495713E"/>
    <w:rsid w:val="64EB4ED4"/>
    <w:rsid w:val="651B165C"/>
    <w:rsid w:val="653B679D"/>
    <w:rsid w:val="65425E50"/>
    <w:rsid w:val="655D2C47"/>
    <w:rsid w:val="656436D8"/>
    <w:rsid w:val="657B5001"/>
    <w:rsid w:val="65830B3C"/>
    <w:rsid w:val="65F22155"/>
    <w:rsid w:val="65F3077D"/>
    <w:rsid w:val="660A5AFA"/>
    <w:rsid w:val="66144CBE"/>
    <w:rsid w:val="666842F6"/>
    <w:rsid w:val="667B16E7"/>
    <w:rsid w:val="669A05D9"/>
    <w:rsid w:val="669E4292"/>
    <w:rsid w:val="66A920B5"/>
    <w:rsid w:val="67433753"/>
    <w:rsid w:val="67534484"/>
    <w:rsid w:val="678B4274"/>
    <w:rsid w:val="679D2A53"/>
    <w:rsid w:val="67BB4024"/>
    <w:rsid w:val="67BF3552"/>
    <w:rsid w:val="67BF6971"/>
    <w:rsid w:val="67EA004D"/>
    <w:rsid w:val="68015AAB"/>
    <w:rsid w:val="682C719B"/>
    <w:rsid w:val="68307DCA"/>
    <w:rsid w:val="68521B79"/>
    <w:rsid w:val="68603A96"/>
    <w:rsid w:val="68975032"/>
    <w:rsid w:val="68980B2E"/>
    <w:rsid w:val="68A70E51"/>
    <w:rsid w:val="68A83CB4"/>
    <w:rsid w:val="68AF59A3"/>
    <w:rsid w:val="68C314A8"/>
    <w:rsid w:val="68CE187A"/>
    <w:rsid w:val="68D42B85"/>
    <w:rsid w:val="68E671E7"/>
    <w:rsid w:val="68EC3140"/>
    <w:rsid w:val="68F6660C"/>
    <w:rsid w:val="690D3DCE"/>
    <w:rsid w:val="69164DAF"/>
    <w:rsid w:val="693307EB"/>
    <w:rsid w:val="6957122A"/>
    <w:rsid w:val="695B00D3"/>
    <w:rsid w:val="69B53ED4"/>
    <w:rsid w:val="69EF697A"/>
    <w:rsid w:val="69F930A3"/>
    <w:rsid w:val="69FC3B4D"/>
    <w:rsid w:val="6A0B0A00"/>
    <w:rsid w:val="6A323788"/>
    <w:rsid w:val="6A486991"/>
    <w:rsid w:val="6A8C05E5"/>
    <w:rsid w:val="6A9E20DB"/>
    <w:rsid w:val="6AA80C20"/>
    <w:rsid w:val="6AB8363C"/>
    <w:rsid w:val="6AC40055"/>
    <w:rsid w:val="6ADF4366"/>
    <w:rsid w:val="6AF23142"/>
    <w:rsid w:val="6B184FC4"/>
    <w:rsid w:val="6B1A09F4"/>
    <w:rsid w:val="6B1B3C01"/>
    <w:rsid w:val="6B1E4830"/>
    <w:rsid w:val="6B1E4B1D"/>
    <w:rsid w:val="6B325463"/>
    <w:rsid w:val="6B412914"/>
    <w:rsid w:val="6B5206C2"/>
    <w:rsid w:val="6B8364A2"/>
    <w:rsid w:val="6B842BF2"/>
    <w:rsid w:val="6BBB3B0A"/>
    <w:rsid w:val="6BCC20B6"/>
    <w:rsid w:val="6C0F5F4A"/>
    <w:rsid w:val="6C145D66"/>
    <w:rsid w:val="6C234C00"/>
    <w:rsid w:val="6C291CF8"/>
    <w:rsid w:val="6C5C405A"/>
    <w:rsid w:val="6C7B19D7"/>
    <w:rsid w:val="6C8C6905"/>
    <w:rsid w:val="6C904A3A"/>
    <w:rsid w:val="6CA05E8C"/>
    <w:rsid w:val="6CAF295B"/>
    <w:rsid w:val="6CDF3D92"/>
    <w:rsid w:val="6CE06728"/>
    <w:rsid w:val="6CEC4D0F"/>
    <w:rsid w:val="6D273EAC"/>
    <w:rsid w:val="6D2B10DB"/>
    <w:rsid w:val="6D547000"/>
    <w:rsid w:val="6D9B5DF8"/>
    <w:rsid w:val="6DA06CFE"/>
    <w:rsid w:val="6DA15105"/>
    <w:rsid w:val="6DA71394"/>
    <w:rsid w:val="6DBA7F66"/>
    <w:rsid w:val="6DC30E5B"/>
    <w:rsid w:val="6DD414AB"/>
    <w:rsid w:val="6DD87CEB"/>
    <w:rsid w:val="6DE77B88"/>
    <w:rsid w:val="6DEA468D"/>
    <w:rsid w:val="6DFE3284"/>
    <w:rsid w:val="6E126153"/>
    <w:rsid w:val="6E1B7732"/>
    <w:rsid w:val="6E2D7521"/>
    <w:rsid w:val="6E483C19"/>
    <w:rsid w:val="6E970275"/>
    <w:rsid w:val="6EB528AE"/>
    <w:rsid w:val="6EC9438E"/>
    <w:rsid w:val="6F2B7644"/>
    <w:rsid w:val="6F4B669E"/>
    <w:rsid w:val="6F4D1CAF"/>
    <w:rsid w:val="6F6C06CA"/>
    <w:rsid w:val="6F795EBC"/>
    <w:rsid w:val="6F9C530D"/>
    <w:rsid w:val="6FB57462"/>
    <w:rsid w:val="6FC55BD5"/>
    <w:rsid w:val="6FCF30E7"/>
    <w:rsid w:val="6FCF6B59"/>
    <w:rsid w:val="6FD9132F"/>
    <w:rsid w:val="700621A6"/>
    <w:rsid w:val="70156503"/>
    <w:rsid w:val="70215234"/>
    <w:rsid w:val="702B2008"/>
    <w:rsid w:val="704E798A"/>
    <w:rsid w:val="7059081D"/>
    <w:rsid w:val="70892D24"/>
    <w:rsid w:val="70995FE1"/>
    <w:rsid w:val="70A533D3"/>
    <w:rsid w:val="70AA6B66"/>
    <w:rsid w:val="70BC1855"/>
    <w:rsid w:val="70D03DBB"/>
    <w:rsid w:val="70E83A13"/>
    <w:rsid w:val="70FC22C7"/>
    <w:rsid w:val="711710B5"/>
    <w:rsid w:val="712931C6"/>
    <w:rsid w:val="712E3B1C"/>
    <w:rsid w:val="71393511"/>
    <w:rsid w:val="714113F5"/>
    <w:rsid w:val="715C1E1C"/>
    <w:rsid w:val="71644448"/>
    <w:rsid w:val="718E249C"/>
    <w:rsid w:val="718E432B"/>
    <w:rsid w:val="71B454B8"/>
    <w:rsid w:val="71C6608B"/>
    <w:rsid w:val="71F54FB8"/>
    <w:rsid w:val="72065508"/>
    <w:rsid w:val="724537B5"/>
    <w:rsid w:val="7288230F"/>
    <w:rsid w:val="72A71E0C"/>
    <w:rsid w:val="72B16F0E"/>
    <w:rsid w:val="72CB21CA"/>
    <w:rsid w:val="72D0074F"/>
    <w:rsid w:val="72D179BF"/>
    <w:rsid w:val="72FC2DE7"/>
    <w:rsid w:val="72FE4C6C"/>
    <w:rsid w:val="73134BB1"/>
    <w:rsid w:val="733B6DC0"/>
    <w:rsid w:val="734F1F70"/>
    <w:rsid w:val="73894780"/>
    <w:rsid w:val="73895BEB"/>
    <w:rsid w:val="73A04D9D"/>
    <w:rsid w:val="73BF20BE"/>
    <w:rsid w:val="73EA6CCC"/>
    <w:rsid w:val="73F83B93"/>
    <w:rsid w:val="74033D3C"/>
    <w:rsid w:val="74042AA5"/>
    <w:rsid w:val="74106C66"/>
    <w:rsid w:val="74143B8C"/>
    <w:rsid w:val="741575AE"/>
    <w:rsid w:val="74231176"/>
    <w:rsid w:val="7425777E"/>
    <w:rsid w:val="74445D77"/>
    <w:rsid w:val="74475476"/>
    <w:rsid w:val="746E3FD1"/>
    <w:rsid w:val="74B67FA7"/>
    <w:rsid w:val="74BD1109"/>
    <w:rsid w:val="74BF0017"/>
    <w:rsid w:val="74E44B22"/>
    <w:rsid w:val="74F00406"/>
    <w:rsid w:val="75125187"/>
    <w:rsid w:val="752F5D58"/>
    <w:rsid w:val="75327D7E"/>
    <w:rsid w:val="75421315"/>
    <w:rsid w:val="757C2E2A"/>
    <w:rsid w:val="75874E09"/>
    <w:rsid w:val="758B7C1F"/>
    <w:rsid w:val="75901DF2"/>
    <w:rsid w:val="75E80D07"/>
    <w:rsid w:val="75EB4796"/>
    <w:rsid w:val="75F01CC1"/>
    <w:rsid w:val="7603479E"/>
    <w:rsid w:val="760F33DD"/>
    <w:rsid w:val="76133F38"/>
    <w:rsid w:val="762B43DD"/>
    <w:rsid w:val="764440FC"/>
    <w:rsid w:val="766361D4"/>
    <w:rsid w:val="769F6F32"/>
    <w:rsid w:val="76A93642"/>
    <w:rsid w:val="76D2656C"/>
    <w:rsid w:val="76D809CC"/>
    <w:rsid w:val="770B3DE2"/>
    <w:rsid w:val="770C25A1"/>
    <w:rsid w:val="771950A4"/>
    <w:rsid w:val="77393B44"/>
    <w:rsid w:val="773B2895"/>
    <w:rsid w:val="773E6EAE"/>
    <w:rsid w:val="775F6560"/>
    <w:rsid w:val="77643273"/>
    <w:rsid w:val="77BF72BF"/>
    <w:rsid w:val="77E81FAD"/>
    <w:rsid w:val="77FD0ED4"/>
    <w:rsid w:val="78216986"/>
    <w:rsid w:val="782463C2"/>
    <w:rsid w:val="78255CB7"/>
    <w:rsid w:val="784F0FD5"/>
    <w:rsid w:val="785D5ED8"/>
    <w:rsid w:val="788A6155"/>
    <w:rsid w:val="78E62D8F"/>
    <w:rsid w:val="78E8599C"/>
    <w:rsid w:val="78F70A7F"/>
    <w:rsid w:val="79080527"/>
    <w:rsid w:val="790D46C0"/>
    <w:rsid w:val="79230E0C"/>
    <w:rsid w:val="793B40F7"/>
    <w:rsid w:val="79450EE0"/>
    <w:rsid w:val="794D7227"/>
    <w:rsid w:val="794F0A74"/>
    <w:rsid w:val="796C136B"/>
    <w:rsid w:val="797E311C"/>
    <w:rsid w:val="7990226D"/>
    <w:rsid w:val="799C1CFF"/>
    <w:rsid w:val="79AB3592"/>
    <w:rsid w:val="79B46437"/>
    <w:rsid w:val="79D11ED5"/>
    <w:rsid w:val="79F61B97"/>
    <w:rsid w:val="7A052B0F"/>
    <w:rsid w:val="7A0C3234"/>
    <w:rsid w:val="7A447BB9"/>
    <w:rsid w:val="7A533C8F"/>
    <w:rsid w:val="7A6E4636"/>
    <w:rsid w:val="7A7154CA"/>
    <w:rsid w:val="7A775B97"/>
    <w:rsid w:val="7A805B8A"/>
    <w:rsid w:val="7AB1278C"/>
    <w:rsid w:val="7ABB1A84"/>
    <w:rsid w:val="7AC71675"/>
    <w:rsid w:val="7ACC1563"/>
    <w:rsid w:val="7B130FB2"/>
    <w:rsid w:val="7B17615D"/>
    <w:rsid w:val="7B24771D"/>
    <w:rsid w:val="7B2636AA"/>
    <w:rsid w:val="7B2B0FEB"/>
    <w:rsid w:val="7B2B4AF7"/>
    <w:rsid w:val="7B2C5E30"/>
    <w:rsid w:val="7B3A3BC0"/>
    <w:rsid w:val="7B6D5BAA"/>
    <w:rsid w:val="7B91308D"/>
    <w:rsid w:val="7BBF24F3"/>
    <w:rsid w:val="7BE611BE"/>
    <w:rsid w:val="7BE80C7C"/>
    <w:rsid w:val="7C215AEC"/>
    <w:rsid w:val="7C360C40"/>
    <w:rsid w:val="7C4B347A"/>
    <w:rsid w:val="7C6D18E2"/>
    <w:rsid w:val="7C864DD5"/>
    <w:rsid w:val="7CA73C20"/>
    <w:rsid w:val="7CEA10D8"/>
    <w:rsid w:val="7CFC5C76"/>
    <w:rsid w:val="7D026036"/>
    <w:rsid w:val="7D5E603B"/>
    <w:rsid w:val="7D6D6976"/>
    <w:rsid w:val="7D6F7B12"/>
    <w:rsid w:val="7D83652A"/>
    <w:rsid w:val="7D8B19D4"/>
    <w:rsid w:val="7D9A016D"/>
    <w:rsid w:val="7DCE1F42"/>
    <w:rsid w:val="7DD00F20"/>
    <w:rsid w:val="7DE66F91"/>
    <w:rsid w:val="7DEB7699"/>
    <w:rsid w:val="7E072EBD"/>
    <w:rsid w:val="7E56381C"/>
    <w:rsid w:val="7E59053C"/>
    <w:rsid w:val="7E7430D2"/>
    <w:rsid w:val="7E7B2AF2"/>
    <w:rsid w:val="7E9A153F"/>
    <w:rsid w:val="7EB02159"/>
    <w:rsid w:val="7ED32013"/>
    <w:rsid w:val="7EED2FC6"/>
    <w:rsid w:val="7EF76EE2"/>
    <w:rsid w:val="7F053F3E"/>
    <w:rsid w:val="7F0C4E65"/>
    <w:rsid w:val="7F113E02"/>
    <w:rsid w:val="7F263E37"/>
    <w:rsid w:val="7F9E4BC1"/>
    <w:rsid w:val="7FD54DD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iPriority="99"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3">
    <w:name w:val="heading 1"/>
    <w:basedOn w:val="1"/>
    <w:next w:val="1"/>
    <w:qFormat/>
    <w:uiPriority w:val="0"/>
    <w:pPr>
      <w:spacing w:line="480" w:lineRule="atLeast"/>
      <w:outlineLvl w:val="0"/>
    </w:pPr>
    <w:rPr>
      <w:rFonts w:ascii="宋体" w:hAnsi="宋体"/>
      <w:b/>
      <w:sz w:val="30"/>
      <w:szCs w:val="30"/>
    </w:rPr>
  </w:style>
  <w:style w:type="paragraph" w:styleId="4">
    <w:name w:val="heading 2"/>
    <w:basedOn w:val="3"/>
    <w:next w:val="1"/>
    <w:semiHidden/>
    <w:unhideWhenUsed/>
    <w:qFormat/>
    <w:uiPriority w:val="0"/>
    <w:pPr>
      <w:outlineLvl w:val="1"/>
    </w:pPr>
    <w:rPr>
      <w:sz w:val="28"/>
    </w:rPr>
  </w:style>
  <w:style w:type="paragraph" w:styleId="5">
    <w:name w:val="heading 3"/>
    <w:basedOn w:val="1"/>
    <w:next w:val="1"/>
    <w:semiHidden/>
    <w:unhideWhenUsed/>
    <w:qFormat/>
    <w:uiPriority w:val="0"/>
    <w:pPr>
      <w:spacing w:line="480" w:lineRule="atLeast"/>
      <w:outlineLvl w:val="2"/>
    </w:pPr>
    <w:rPr>
      <w:rFonts w:ascii="宋体" w:hAnsi="宋体"/>
      <w:sz w:val="24"/>
      <w:szCs w:val="24"/>
    </w:rPr>
  </w:style>
  <w:style w:type="paragraph" w:styleId="6">
    <w:name w:val="heading 4"/>
    <w:basedOn w:val="1"/>
    <w:next w:val="1"/>
    <w:qFormat/>
    <w:uiPriority w:val="1"/>
    <w:pPr>
      <w:ind w:left="666"/>
      <w:outlineLvl w:val="4"/>
    </w:pPr>
    <w:rPr>
      <w:rFonts w:ascii="微软雅黑" w:hAnsi="微软雅黑" w:eastAsia="微软雅黑" w:cs="微软雅黑"/>
      <w:b/>
      <w:bCs/>
      <w:sz w:val="24"/>
      <w:szCs w:val="24"/>
      <w:lang w:val="zh-CN" w:eastAsia="zh-CN" w:bidi="zh-CN"/>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customStyle="1" w:styleId="2">
    <w:name w:val="三级标题"/>
    <w:basedOn w:val="1"/>
    <w:next w:val="1"/>
    <w:qFormat/>
    <w:uiPriority w:val="0"/>
    <w:pPr>
      <w:spacing w:line="360" w:lineRule="auto"/>
    </w:pPr>
    <w:rPr>
      <w:sz w:val="24"/>
      <w:szCs w:val="24"/>
    </w:rPr>
  </w:style>
  <w:style w:type="paragraph" w:styleId="7">
    <w:name w:val="Normal Indent"/>
    <w:basedOn w:val="1"/>
    <w:next w:val="8"/>
    <w:qFormat/>
    <w:uiPriority w:val="0"/>
    <w:pPr>
      <w:ind w:firstLine="420" w:firstLineChars="200"/>
    </w:pPr>
    <w:rPr>
      <w:szCs w:val="24"/>
    </w:rPr>
  </w:style>
  <w:style w:type="paragraph" w:customStyle="1" w:styleId="8">
    <w:name w:val="样式 正文文本 + 首行缩进:  2 字符"/>
    <w:basedOn w:val="9"/>
    <w:qFormat/>
    <w:uiPriority w:val="0"/>
    <w:pPr>
      <w:spacing w:line="480" w:lineRule="exact"/>
      <w:ind w:firstLine="480" w:firstLineChars="200"/>
    </w:pPr>
    <w:rPr>
      <w:rFonts w:ascii="宋体" w:hAnsi="宋体" w:eastAsia="宋体" w:cs="宋体"/>
      <w:sz w:val="24"/>
      <w:szCs w:val="20"/>
    </w:rPr>
  </w:style>
  <w:style w:type="paragraph" w:styleId="9">
    <w:name w:val="Body Text"/>
    <w:basedOn w:val="1"/>
    <w:qFormat/>
    <w:uiPriority w:val="0"/>
    <w:pPr>
      <w:spacing w:after="120"/>
    </w:pPr>
  </w:style>
  <w:style w:type="paragraph" w:styleId="10">
    <w:name w:val="annotation text"/>
    <w:basedOn w:val="1"/>
    <w:qFormat/>
    <w:uiPriority w:val="0"/>
    <w:pPr>
      <w:jc w:val="left"/>
    </w:pPr>
  </w:style>
  <w:style w:type="paragraph" w:styleId="11">
    <w:name w:val="Body Text Indent"/>
    <w:basedOn w:val="1"/>
    <w:qFormat/>
    <w:uiPriority w:val="0"/>
    <w:pPr>
      <w:spacing w:after="120" w:afterLines="0" w:afterAutospacing="0"/>
      <w:ind w:left="420" w:leftChars="200"/>
    </w:pPr>
  </w:style>
  <w:style w:type="paragraph" w:styleId="12">
    <w:name w:val="toc 3"/>
    <w:basedOn w:val="1"/>
    <w:next w:val="1"/>
    <w:qFormat/>
    <w:uiPriority w:val="0"/>
    <w:pPr>
      <w:widowControl/>
      <w:spacing w:after="100" w:line="259" w:lineRule="auto"/>
      <w:ind w:left="440"/>
      <w:jc w:val="left"/>
    </w:pPr>
    <w:rPr>
      <w:kern w:val="0"/>
      <w:sz w:val="22"/>
    </w:rPr>
  </w:style>
  <w:style w:type="paragraph" w:styleId="13">
    <w:name w:val="Plain Text"/>
    <w:basedOn w:val="1"/>
    <w:qFormat/>
    <w:uiPriority w:val="0"/>
    <w:rPr>
      <w:rFonts w:ascii="宋体" w:hAnsi="Courier New" w:cs="Courier New"/>
      <w:szCs w:val="21"/>
    </w:rPr>
  </w:style>
  <w:style w:type="paragraph" w:styleId="14">
    <w:name w:val="Body Text Indent 2"/>
    <w:basedOn w:val="1"/>
    <w:qFormat/>
    <w:uiPriority w:val="0"/>
    <w:pPr>
      <w:spacing w:line="300" w:lineRule="atLeast"/>
      <w:ind w:firstLine="420" w:firstLineChars="200"/>
    </w:pPr>
    <w:rPr>
      <w:color w:val="FF00FF"/>
      <w:kern w:val="24"/>
      <w:szCs w:val="20"/>
    </w:rPr>
  </w:style>
  <w:style w:type="paragraph" w:styleId="15">
    <w:name w:val="footer"/>
    <w:basedOn w:val="1"/>
    <w:qFormat/>
    <w:uiPriority w:val="0"/>
    <w:pPr>
      <w:tabs>
        <w:tab w:val="center" w:pos="4153"/>
        <w:tab w:val="right" w:pos="8306"/>
      </w:tabs>
      <w:snapToGrid w:val="0"/>
      <w:jc w:val="left"/>
    </w:pPr>
    <w:rPr>
      <w:sz w:val="18"/>
      <w:szCs w:val="18"/>
    </w:rPr>
  </w:style>
  <w:style w:type="paragraph" w:styleId="1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7">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8">
    <w:name w:val="List"/>
    <w:basedOn w:val="1"/>
    <w:qFormat/>
    <w:uiPriority w:val="0"/>
    <w:pPr>
      <w:spacing w:line="360" w:lineRule="exact"/>
      <w:ind w:firstLine="38" w:firstLineChars="18"/>
      <w:jc w:val="left"/>
    </w:pPr>
    <w:rPr>
      <w:rFonts w:ascii="宋体" w:hAnsi="Times New Roman"/>
      <w:szCs w:val="21"/>
    </w:rPr>
  </w:style>
  <w:style w:type="paragraph" w:styleId="19">
    <w:name w:val="toc 2"/>
    <w:basedOn w:val="1"/>
    <w:next w:val="1"/>
    <w:qFormat/>
    <w:uiPriority w:val="0"/>
    <w:pPr>
      <w:ind w:left="420" w:leftChars="200"/>
    </w:pPr>
  </w:style>
  <w:style w:type="paragraph" w:styleId="20">
    <w:name w:val="Body Text First Indent"/>
    <w:basedOn w:val="9"/>
    <w:qFormat/>
    <w:uiPriority w:val="0"/>
    <w:pPr>
      <w:ind w:firstLine="420" w:firstLineChars="100"/>
    </w:pPr>
  </w:style>
  <w:style w:type="paragraph" w:styleId="21">
    <w:name w:val="Body Text First Indent 2"/>
    <w:basedOn w:val="11"/>
    <w:next w:val="1"/>
    <w:qFormat/>
    <w:uiPriority w:val="0"/>
    <w:pPr>
      <w:ind w:firstLine="420" w:firstLineChars="200"/>
    </w:pPr>
  </w:style>
  <w:style w:type="table" w:styleId="23">
    <w:name w:val="Table Grid"/>
    <w:basedOn w:val="22"/>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5">
    <w:name w:val="Strong"/>
    <w:basedOn w:val="24"/>
    <w:qFormat/>
    <w:uiPriority w:val="0"/>
    <w:rPr>
      <w:b/>
      <w:bCs/>
    </w:rPr>
  </w:style>
  <w:style w:type="character" w:styleId="26">
    <w:name w:val="FollowedHyperlink"/>
    <w:basedOn w:val="24"/>
    <w:qFormat/>
    <w:uiPriority w:val="0"/>
    <w:rPr>
      <w:color w:val="0084FF"/>
      <w:u w:val="none"/>
    </w:rPr>
  </w:style>
  <w:style w:type="character" w:styleId="27">
    <w:name w:val="Emphasis"/>
    <w:basedOn w:val="24"/>
    <w:qFormat/>
    <w:uiPriority w:val="0"/>
  </w:style>
  <w:style w:type="character" w:styleId="28">
    <w:name w:val="Hyperlink"/>
    <w:basedOn w:val="24"/>
    <w:qFormat/>
    <w:uiPriority w:val="0"/>
    <w:rPr>
      <w:color w:val="0084FF"/>
      <w:u w:val="none"/>
    </w:rPr>
  </w:style>
  <w:style w:type="character" w:styleId="29">
    <w:name w:val="HTML Code"/>
    <w:basedOn w:val="24"/>
    <w:qFormat/>
    <w:uiPriority w:val="0"/>
    <w:rPr>
      <w:rFonts w:hint="default" w:ascii="monospace" w:hAnsi="monospace" w:eastAsia="monospace" w:cs="monospace"/>
      <w:sz w:val="21"/>
      <w:szCs w:val="21"/>
    </w:rPr>
  </w:style>
  <w:style w:type="character" w:styleId="30">
    <w:name w:val="annotation reference"/>
    <w:basedOn w:val="24"/>
    <w:qFormat/>
    <w:uiPriority w:val="0"/>
    <w:rPr>
      <w:sz w:val="21"/>
      <w:szCs w:val="21"/>
    </w:rPr>
  </w:style>
  <w:style w:type="character" w:styleId="31">
    <w:name w:val="HTML Keyboard"/>
    <w:basedOn w:val="24"/>
    <w:qFormat/>
    <w:uiPriority w:val="0"/>
    <w:rPr>
      <w:rFonts w:hint="default" w:ascii="monospace" w:hAnsi="monospace" w:eastAsia="monospace" w:cs="monospace"/>
      <w:sz w:val="21"/>
      <w:szCs w:val="21"/>
    </w:rPr>
  </w:style>
  <w:style w:type="character" w:styleId="32">
    <w:name w:val="HTML Sample"/>
    <w:basedOn w:val="24"/>
    <w:qFormat/>
    <w:uiPriority w:val="0"/>
    <w:rPr>
      <w:rFonts w:ascii="monospace" w:hAnsi="monospace" w:eastAsia="monospace" w:cs="monospace"/>
      <w:sz w:val="21"/>
      <w:szCs w:val="21"/>
    </w:rPr>
  </w:style>
  <w:style w:type="paragraph" w:customStyle="1" w:styleId="33">
    <w:name w:val="正文 首行缩进:  2 字符"/>
    <w:basedOn w:val="1"/>
    <w:qFormat/>
    <w:uiPriority w:val="0"/>
    <w:pPr>
      <w:ind w:firstLine="200"/>
    </w:pPr>
    <w:rPr>
      <w:rFonts w:cs="宋体"/>
    </w:rPr>
  </w:style>
  <w:style w:type="paragraph" w:customStyle="1" w:styleId="34">
    <w:name w:val="TOC Heading1"/>
    <w:basedOn w:val="3"/>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35">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36">
    <w:name w:val="列出段落1"/>
    <w:basedOn w:val="1"/>
    <w:qFormat/>
    <w:uiPriority w:val="99"/>
    <w:pPr>
      <w:ind w:firstLine="420" w:firstLineChars="200"/>
    </w:pPr>
  </w:style>
  <w:style w:type="table" w:customStyle="1" w:styleId="37">
    <w:name w:val="TableGrid"/>
    <w:qFormat/>
    <w:uiPriority w:val="0"/>
    <w:tblPr>
      <w:tblCellMar>
        <w:top w:w="0" w:type="dxa"/>
        <w:left w:w="0" w:type="dxa"/>
        <w:bottom w:w="0" w:type="dxa"/>
        <w:right w:w="0" w:type="dxa"/>
      </w:tblCellMar>
    </w:tblPr>
  </w:style>
  <w:style w:type="paragraph" w:customStyle="1" w:styleId="38">
    <w:name w:val="(1)"/>
    <w:basedOn w:val="1"/>
    <w:qFormat/>
    <w:uiPriority w:val="0"/>
    <w:rPr>
      <w:sz w:val="24"/>
    </w:rPr>
  </w:style>
  <w:style w:type="paragraph" w:customStyle="1" w:styleId="39">
    <w:name w:val="1"/>
    <w:basedOn w:val="1"/>
    <w:next w:val="13"/>
    <w:qFormat/>
    <w:uiPriority w:val="0"/>
    <w:rPr>
      <w:rFonts w:ascii="宋体" w:hAnsi="Courier New"/>
      <w:color w:val="000000"/>
      <w:kern w:val="44"/>
      <w:sz w:val="24"/>
      <w:szCs w:val="20"/>
    </w:rPr>
  </w:style>
  <w:style w:type="paragraph" w:customStyle="1" w:styleId="40">
    <w:name w:val="表格1"/>
    <w:basedOn w:val="7"/>
    <w:next w:val="7"/>
    <w:qFormat/>
    <w:uiPriority w:val="0"/>
    <w:pPr>
      <w:adjustRightInd w:val="0"/>
      <w:snapToGrid w:val="0"/>
      <w:spacing w:line="340" w:lineRule="exact"/>
      <w:ind w:firstLine="0" w:firstLineChars="0"/>
      <w:jc w:val="center"/>
    </w:pPr>
    <w:rPr>
      <w:szCs w:val="20"/>
      <w:lang w:val="en-US" w:eastAsia="zh-CN"/>
    </w:rPr>
  </w:style>
  <w:style w:type="paragraph" w:customStyle="1" w:styleId="41">
    <w:name w:val="长江报告表表格"/>
    <w:basedOn w:val="1"/>
    <w:qFormat/>
    <w:uiPriority w:val="0"/>
    <w:pPr>
      <w:spacing w:line="360" w:lineRule="atLeast"/>
      <w:jc w:val="center"/>
    </w:pPr>
    <w:rPr>
      <w:rFonts w:cstheme="minorBidi"/>
      <w:szCs w:val="22"/>
    </w:rPr>
  </w:style>
  <w:style w:type="paragraph" w:customStyle="1" w:styleId="42">
    <w:name w:val="表格正文"/>
    <w:basedOn w:val="41"/>
    <w:qFormat/>
    <w:uiPriority w:val="0"/>
    <w:pPr>
      <w:jc w:val="both"/>
    </w:pPr>
    <w:rPr>
      <w:snapToGrid w:val="0"/>
      <w:color w:val="000000"/>
    </w:rPr>
  </w:style>
  <w:style w:type="paragraph" w:customStyle="1" w:styleId="43">
    <w:name w:val="报告表正文"/>
    <w:basedOn w:val="1"/>
    <w:qFormat/>
    <w:uiPriority w:val="0"/>
    <w:pPr>
      <w:adjustRightInd w:val="0"/>
      <w:spacing w:line="480" w:lineRule="exact"/>
      <w:ind w:firstLine="200" w:firstLineChars="200"/>
      <w:textAlignment w:val="baseline"/>
    </w:pPr>
    <w:rPr>
      <w:kern w:val="0"/>
      <w:sz w:val="24"/>
    </w:rPr>
  </w:style>
  <w:style w:type="paragraph" w:customStyle="1" w:styleId="44">
    <w:name w:val="长江报告表正文"/>
    <w:basedOn w:val="45"/>
    <w:link w:val="46"/>
    <w:qFormat/>
    <w:uiPriority w:val="0"/>
    <w:pPr>
      <w:spacing w:line="480" w:lineRule="atLeast"/>
      <w:ind w:firstLine="200" w:firstLineChars="200"/>
    </w:pPr>
    <w:rPr>
      <w:rFonts w:cstheme="minorBidi"/>
      <w:sz w:val="24"/>
      <w:szCs w:val="22"/>
    </w:rPr>
  </w:style>
  <w:style w:type="paragraph" w:styleId="45">
    <w:name w:val="No Spacing"/>
    <w:semiHidden/>
    <w:unhideWhenUsed/>
    <w:qFormat/>
    <w:uiPriority w:val="99"/>
    <w:pPr>
      <w:widowControl w:val="0"/>
      <w:jc w:val="both"/>
    </w:pPr>
    <w:rPr>
      <w:rFonts w:ascii="Times New Roman" w:hAnsi="Times New Roman" w:eastAsia="宋体" w:cs="Times New Roman"/>
      <w:kern w:val="2"/>
      <w:sz w:val="21"/>
      <w:lang w:val="en-US" w:eastAsia="zh-CN" w:bidi="ar-SA"/>
    </w:rPr>
  </w:style>
  <w:style w:type="character" w:customStyle="1" w:styleId="46">
    <w:name w:val="长江报告表正文 字符"/>
    <w:basedOn w:val="24"/>
    <w:link w:val="44"/>
    <w:qFormat/>
    <w:uiPriority w:val="0"/>
    <w:rPr>
      <w:rFonts w:cstheme="minorBidi"/>
      <w:sz w:val="24"/>
      <w:szCs w:val="22"/>
    </w:rPr>
  </w:style>
  <w:style w:type="paragraph" w:customStyle="1" w:styleId="47">
    <w:name w:val="表"/>
    <w:basedOn w:val="1"/>
    <w:qFormat/>
    <w:uiPriority w:val="0"/>
    <w:pPr>
      <w:snapToGrid w:val="0"/>
      <w:jc w:val="center"/>
    </w:pPr>
    <w:rPr>
      <w:rFonts w:ascii="Times New Roman" w:hAnsi="Times New Roman"/>
      <w:spacing w:val="2"/>
      <w:szCs w:val="20"/>
    </w:rPr>
  </w:style>
  <w:style w:type="character" w:customStyle="1" w:styleId="48">
    <w:name w:val="正文文本缩进 3 Char Char"/>
    <w:qFormat/>
    <w:uiPriority w:val="99"/>
    <w:rPr>
      <w:rFonts w:ascii="宋体" w:hAnsi="宋体" w:eastAsia="宋体"/>
      <w:b/>
      <w:kern w:val="2"/>
      <w:sz w:val="24"/>
      <w:lang w:val="en-US" w:eastAsia="zh-CN"/>
    </w:rPr>
  </w:style>
  <w:style w:type="paragraph" w:customStyle="1" w:styleId="49">
    <w:name w:val="Table Paragraph"/>
    <w:basedOn w:val="1"/>
    <w:qFormat/>
    <w:uiPriority w:val="1"/>
    <w:rPr>
      <w:rFonts w:ascii="宋体" w:hAnsi="宋体" w:eastAsia="宋体" w:cs="宋体"/>
      <w:lang w:val="zh-CN" w:eastAsia="zh-CN" w:bidi="zh-CN"/>
    </w:rPr>
  </w:style>
  <w:style w:type="paragraph" w:customStyle="1" w:styleId="50">
    <w:name w:val="表内1号"/>
    <w:qFormat/>
    <w:uiPriority w:val="0"/>
    <w:pPr>
      <w:adjustRightInd w:val="0"/>
      <w:snapToGrid w:val="0"/>
      <w:jc w:val="center"/>
    </w:pPr>
    <w:rPr>
      <w:rFonts w:ascii="Times New Roman" w:hAnsi="Times New Roman" w:eastAsia="仿宋_GB2312" w:cs="Times New Roman"/>
      <w:kern w:val="2"/>
      <w:sz w:val="21"/>
      <w:szCs w:val="21"/>
      <w:lang w:val="en-US" w:eastAsia="zh-CN" w:bidi="ar-SA"/>
    </w:rPr>
  </w:style>
  <w:style w:type="paragraph" w:customStyle="1" w:styleId="51">
    <w:name w:val="表格"/>
    <w:basedOn w:val="1"/>
    <w:qFormat/>
    <w:uiPriority w:val="0"/>
    <w:pPr>
      <w:widowControl/>
      <w:jc w:val="center"/>
    </w:pPr>
    <w:rPr>
      <w:kern w:val="0"/>
      <w:szCs w:val="22"/>
    </w:rPr>
  </w:style>
  <w:style w:type="paragraph" w:customStyle="1" w:styleId="52">
    <w:name w:val="正文01"/>
    <w:basedOn w:val="1"/>
    <w:qFormat/>
    <w:uiPriority w:val="0"/>
    <w:pPr>
      <w:spacing w:line="360" w:lineRule="auto"/>
      <w:ind w:firstLine="482"/>
    </w:pPr>
    <w:rPr>
      <w:sz w:val="24"/>
      <w:szCs w:val="20"/>
    </w:rPr>
  </w:style>
  <w:style w:type="paragraph" w:customStyle="1" w:styleId="53">
    <w:name w:val="表正文1"/>
    <w:basedOn w:val="1"/>
    <w:qFormat/>
    <w:uiPriority w:val="0"/>
    <w:pPr>
      <w:spacing w:line="520" w:lineRule="exact"/>
      <w:ind w:firstLine="480" w:firstLineChars="200"/>
    </w:pPr>
    <w:rPr>
      <w:rFonts w:ascii="宋体" w:hAnsi="宋体"/>
      <w:kern w:val="0"/>
      <w:sz w:val="24"/>
    </w:rPr>
  </w:style>
  <w:style w:type="paragraph" w:customStyle="1" w:styleId="54">
    <w:name w:val="正文2"/>
    <w:basedOn w:val="1"/>
    <w:qFormat/>
    <w:uiPriority w:val="0"/>
    <w:pPr>
      <w:adjustRightInd w:val="0"/>
      <w:spacing w:line="440" w:lineRule="atLeast"/>
      <w:ind w:firstLine="425"/>
      <w:textAlignment w:val="baseline"/>
    </w:pPr>
    <w:rPr>
      <w:kern w:val="0"/>
      <w:sz w:val="24"/>
      <w:szCs w:val="20"/>
    </w:rPr>
  </w:style>
  <w:style w:type="character" w:customStyle="1" w:styleId="55">
    <w:name w:val="ask-txt"/>
    <w:basedOn w:val="24"/>
    <w:qFormat/>
    <w:uiPriority w:val="0"/>
    <w:rPr>
      <w:color w:val="999999"/>
    </w:rPr>
  </w:style>
  <w:style w:type="character" w:customStyle="1" w:styleId="56">
    <w:name w:val="active6"/>
    <w:basedOn w:val="24"/>
    <w:qFormat/>
    <w:uiPriority w:val="0"/>
    <w:rPr>
      <w:color w:val="FFFFFF"/>
      <w:shd w:val="clear" w:fill="0084FF"/>
    </w:rPr>
  </w:style>
  <w:style w:type="character" w:customStyle="1" w:styleId="57">
    <w:name w:val="first-child"/>
    <w:basedOn w:val="24"/>
    <w:qFormat/>
    <w:uiPriority w:val="0"/>
  </w:style>
  <w:style w:type="character" w:customStyle="1" w:styleId="58">
    <w:name w:val="icon38"/>
    <w:basedOn w:val="24"/>
    <w:qFormat/>
    <w:uiPriority w:val="0"/>
  </w:style>
  <w:style w:type="character" w:customStyle="1" w:styleId="59">
    <w:name w:val="icon39"/>
    <w:basedOn w:val="24"/>
    <w:qFormat/>
    <w:uiPriority w:val="0"/>
  </w:style>
  <w:style w:type="character" w:customStyle="1" w:styleId="60">
    <w:name w:val="icon40"/>
    <w:basedOn w:val="24"/>
    <w:qFormat/>
    <w:uiPriority w:val="0"/>
  </w:style>
  <w:style w:type="character" w:customStyle="1" w:styleId="61">
    <w:name w:val="icon41"/>
    <w:basedOn w:val="24"/>
    <w:qFormat/>
    <w:uiPriority w:val="0"/>
  </w:style>
  <w:style w:type="paragraph" w:customStyle="1" w:styleId="62">
    <w:name w:val="Default"/>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paragraph" w:customStyle="1" w:styleId="63">
    <w:name w:val="2.1.1"/>
    <w:basedOn w:val="1"/>
    <w:qFormat/>
    <w:uiPriority w:val="0"/>
    <w:rPr>
      <w:sz w:val="24"/>
      <w:szCs w:val="24"/>
    </w:rPr>
  </w:style>
  <w:style w:type="character" w:customStyle="1" w:styleId="64">
    <w:name w:val="font31"/>
    <w:basedOn w:val="24"/>
    <w:qFormat/>
    <w:uiPriority w:val="0"/>
    <w:rPr>
      <w:rFonts w:hint="eastAsia" w:ascii="宋体" w:hAnsi="宋体" w:eastAsia="宋体" w:cs="宋体"/>
      <w:color w:val="000000"/>
      <w:sz w:val="18"/>
      <w:szCs w:val="18"/>
      <w:u w:val="none"/>
    </w:rPr>
  </w:style>
  <w:style w:type="character" w:customStyle="1" w:styleId="65">
    <w:name w:val="font01"/>
    <w:basedOn w:val="24"/>
    <w:qFormat/>
    <w:uiPriority w:val="0"/>
    <w:rPr>
      <w:rFonts w:hint="default" w:ascii="Times New Roman" w:hAnsi="Times New Roman" w:cs="Times New Roman"/>
      <w:color w:val="000000"/>
      <w:sz w:val="18"/>
      <w:szCs w:val="18"/>
      <w:u w:val="none"/>
    </w:rPr>
  </w:style>
  <w:style w:type="paragraph" w:customStyle="1" w:styleId="66">
    <w:name w:val="A-表格文字"/>
    <w:basedOn w:val="1"/>
    <w:next w:val="1"/>
    <w:qFormat/>
    <w:uiPriority w:val="0"/>
    <w:pPr>
      <w:autoSpaceDE w:val="0"/>
      <w:autoSpaceDN w:val="0"/>
      <w:adjustRightInd w:val="0"/>
      <w:jc w:val="center"/>
      <w:textAlignment w:val="center"/>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15.jpeg"/><Relationship Id="rId32" Type="http://schemas.openxmlformats.org/officeDocument/2006/relationships/image" Target="media/image14.jpeg"/><Relationship Id="rId31" Type="http://schemas.openxmlformats.org/officeDocument/2006/relationships/image" Target="media/image13.jpeg"/><Relationship Id="rId30" Type="http://schemas.openxmlformats.org/officeDocument/2006/relationships/image" Target="media/image12.jpeg"/><Relationship Id="rId3" Type="http://schemas.openxmlformats.org/officeDocument/2006/relationships/header" Target="header1.xml"/><Relationship Id="rId29" Type="http://schemas.openxmlformats.org/officeDocument/2006/relationships/image" Target="media/image11.jpeg"/><Relationship Id="rId28" Type="http://schemas.openxmlformats.org/officeDocument/2006/relationships/image" Target="media/image10.jpeg"/><Relationship Id="rId27" Type="http://schemas.openxmlformats.org/officeDocument/2006/relationships/image" Target="media/image9.png"/><Relationship Id="rId26" Type="http://schemas.openxmlformats.org/officeDocument/2006/relationships/image" Target="media/image8.jpeg"/><Relationship Id="rId25" Type="http://schemas.openxmlformats.org/officeDocument/2006/relationships/image" Target="media/image7.jpeg"/><Relationship Id="rId24" Type="http://schemas.openxmlformats.org/officeDocument/2006/relationships/image" Target="media/image6.emf"/><Relationship Id="rId23" Type="http://schemas.openxmlformats.org/officeDocument/2006/relationships/oleObject" Target="embeddings/oleObject4.bin"/><Relationship Id="rId22" Type="http://schemas.openxmlformats.org/officeDocument/2006/relationships/image" Target="media/image5.emf"/><Relationship Id="rId21" Type="http://schemas.openxmlformats.org/officeDocument/2006/relationships/oleObject" Target="embeddings/oleObject3.bin"/><Relationship Id="rId20" Type="http://schemas.openxmlformats.org/officeDocument/2006/relationships/image" Target="media/image4.jpeg"/><Relationship Id="rId2" Type="http://schemas.openxmlformats.org/officeDocument/2006/relationships/settings" Target="settings.xml"/><Relationship Id="rId19" Type="http://schemas.openxmlformats.org/officeDocument/2006/relationships/image" Target="media/image3.jpeg"/><Relationship Id="rId18" Type="http://schemas.openxmlformats.org/officeDocument/2006/relationships/image" Target="media/image2.emf"/><Relationship Id="rId17" Type="http://schemas.openxmlformats.org/officeDocument/2006/relationships/oleObject" Target="embeddings/oleObject2.bin"/><Relationship Id="rId16" Type="http://schemas.openxmlformats.org/officeDocument/2006/relationships/image" Target="media/image1.emf"/><Relationship Id="rId15" Type="http://schemas.openxmlformats.org/officeDocument/2006/relationships/oleObject" Target="embeddings/oleObject1.bin"/><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2058"/>
    <customShpInfo spid="_x0000_s2059"/>
    <customShpInfo spid="_x0000_s2062"/>
    <customShpInfo spid="_x0000_s2063"/>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1</Lines>
  <Paragraphs>1</Paragraphs>
  <TotalTime>6</TotalTime>
  <ScaleCrop>false</ScaleCrop>
  <LinksUpToDate>false</LinksUpToDate>
  <CharactersWithSpaces>0</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燕赵</cp:lastModifiedBy>
  <cp:lastPrinted>2020-10-08T05:13:53Z</cp:lastPrinted>
  <dcterms:modified xsi:type="dcterms:W3CDTF">2020-10-08T05:13:56Z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